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500万资产配置方案（优化版）</w:t>
      </w:r>
    </w:p>
    <w:p>
      <w:pPr>
        <w:jc w:val="center"/>
      </w:pPr>
      <w:r>
        <w:rPr>
          <w:rFonts w:ascii="楷体" w:hAnsi="楷体" w:eastAsia="楷体"/>
          <w:b w:val="0"/>
          <w:sz w:val="24"/>
        </w:rPr>
        <w:t>基于风险评估与压力测试的改进方案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一、方案概述</w:t>
      </w:r>
    </w:p>
    <w:p>
      <w:r>
        <w:rPr>
          <w:rFonts w:ascii="宋体" w:hAnsi="宋体" w:eastAsia="宋体"/>
          <w:b w:val="0"/>
          <w:sz w:val="21"/>
        </w:rPr>
        <w:t>本方案基于对原配置方案的全面评估、蒙特卡洛模拟（10,000次）及极端情景压力测试，针对发现的问题进行优化。仓位权重保持原方案不变，仅对黄金建仓策略、止损纪律、再平衡规则及风控机制进行优化。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二、资产配置总表（保持原方案权重）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资产类别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具体标的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代码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权重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金额(万)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A股大盘蓝筹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华泰柏瑞沪深300ETF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510300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A股中小盘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南方中证500ETF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510500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A股科创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科创50ETF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588050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A股创业板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易方达创业板ETF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159915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A股防御底仓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华泰柏瑞红利低波ETF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512890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混合资产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可转债ETF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511380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长久期利率债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国泰上证10年期国债ETF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511260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中短端国债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国泰上证5年期国债ETF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511010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短久期信用债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海富通中证短融ETF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511360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贵金属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华安黄金ETF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518880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场内货币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银华日利ETF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511880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场内货币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华宝添益ETF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511990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100%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500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28"/>
        </w:rPr>
        <w:t>三、本次优化内容说明</w:t>
      </w:r>
    </w:p>
    <w:p>
      <w:r>
        <w:rPr>
          <w:rFonts w:ascii="宋体" w:hAnsi="宋体" w:eastAsia="宋体"/>
          <w:b w:val="0"/>
          <w:sz w:val="21"/>
        </w:rPr>
        <w:t>以下4项为本次优化调整内容，其余保持原方案不变：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 黄金建仓策略优化</w:t>
      </w:r>
    </w:p>
    <w:p>
      <w:r>
        <w:rPr>
          <w:rFonts w:ascii="宋体" w:hAnsi="宋体" w:eastAsia="宋体"/>
          <w:b w:val="0"/>
          <w:sz w:val="21"/>
        </w:rPr>
        <w:t>• 取消固定价格倒金字塔（原9.5/9/8.5/7.5）</w:t>
        <w:br/>
        <w:t>• 改为：底仓5%（25万）立即建立 + 剩余10%（50万）分12个月定投</w:t>
        <w:br/>
        <w:t>• 加码规则：若单月大跌超5%，额外加码5万</w:t>
        <w:br/>
        <w:t>• 理由：避免资金长期闲置，降低择时风险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 止损纪律放宽</w:t>
      </w:r>
    </w:p>
    <w:p>
      <w:r>
        <w:rPr>
          <w:rFonts w:ascii="宋体" w:hAnsi="宋体" w:eastAsia="宋体"/>
          <w:b w:val="0"/>
          <w:sz w:val="21"/>
        </w:rPr>
        <w:t>• 科创50/创业板：-10%/-15%（原-8%/-10%）</w:t>
        <w:br/>
        <w:t>• 其他权益品种：统一-15%止损</w:t>
        <w:br/>
        <w:t>• 新增动态止损：价格跌破20日均线且跌幅超8%触发预警</w:t>
        <w:br/>
        <w:t>• 理由：减少震荡市中的频繁止损，保留反弹机会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 再平衡规则优化</w:t>
      </w:r>
    </w:p>
    <w:p>
      <w:r>
        <w:rPr>
          <w:rFonts w:ascii="宋体" w:hAnsi="宋体" w:eastAsia="宋体"/>
          <w:b w:val="0"/>
          <w:sz w:val="21"/>
        </w:rPr>
        <w:t>• 阈值从±5%放宽至±7%</w:t>
        <w:br/>
        <w:t>• 频率从月度改为季度审视，紧急线（±10%）次日执行</w:t>
        <w:br/>
        <w:t>• 新增估值再平衡：沪深300 PE&gt;历史70%分位，权益降5%</w:t>
        <w:br/>
        <w:t>• 理由：降低摩擦成本（预计从5年4.75万降至2.8万）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 核心风控纪律优化</w:t>
      </w:r>
    </w:p>
    <w:p>
      <w:r>
        <w:rPr>
          <w:rFonts w:ascii="宋体" w:hAnsi="宋体" w:eastAsia="宋体"/>
          <w:b w:val="0"/>
          <w:sz w:val="21"/>
        </w:rPr>
        <w:t>• 新增止盈资金再配置时限（2个交易日内）</w:t>
        <w:br/>
        <w:t>• 新增黑天鹅应对机制（-15%强制降仓至40%权益）</w:t>
        <w:br/>
        <w:t>• 新增盈利提取规则（年收益&gt;15%提取50%）</w:t>
        <w:br/>
        <w:t>• 理由：完善极端风险应对，强制落袋为安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四、黄金建仓配套规则（优化版）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4.1 黄金ETF（518880）建仓执行表（定投+大跌加码）75万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触发条件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单次投入(万)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累计投入(万)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仓位进度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底仓先行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立即执行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定投阶段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每月固定投入（第2-12月）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4.5万/月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25-70万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33%-93%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大跌加码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单月跌幅超5%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5万/次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累计不超过75万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灵活补充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收官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12个月定投完成或累计达75万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补齐剩余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100%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配套规则：</w:t>
        <w:br/>
        <w:t>1. 时间强制轨道：若连续3个月未触发大跌加码，第4个月强制加仓4.5万</w:t>
        <w:br/>
        <w:t>2. 右侧修正：若金价向上突破前期高点且连续5日站稳，可将剩余未投金额一次性追入</w:t>
        <w:br/>
        <w:t>3. 硬止损：若金价跌破建仓成本的20%且连续两周收盘低于该水平，暂停加仓计划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五、核心风控纪律（优化版）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5.1 单品种机械止盈纪律（7% / 9% / 12% 阶梯减仓）</w:t>
      </w:r>
    </w:p>
    <w:p>
      <w:r>
        <w:rPr>
          <w:rFonts w:ascii="宋体" w:hAnsi="宋体" w:eastAsia="宋体"/>
          <w:b w:val="0"/>
          <w:sz w:val="21"/>
        </w:rPr>
        <w:t>适用标的：510300、510500、588050、159915、512890、518880、511380</w:t>
        <w:br/>
        <w:t>不适用：511260、511010、511360、511880、511990（债底与现金不触发止盈）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档位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浮盈阈值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触发条件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减仓比例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该档锁定规则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第一档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+7%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成本价 x 1.07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每档仅触发一次，触发后标记"已兑现"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第二档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+9%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成本价 x 1.09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同上（累计已减50%）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第三档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+12%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成本价 x 1.12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剩余全部100%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清仓止盈，本品种本轮交易结束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rFonts w:ascii="宋体" w:hAnsi="宋体" w:eastAsia="宋体"/>
          <w:b w:val="0"/>
          <w:sz w:val="21"/>
        </w:rPr>
        <w:t>【新增】止盈资金必须在2个交易日内完成再配置，优先补给低仓位资产，或买入511880/511990待命。</w:t>
      </w:r>
    </w:p>
    <w:p>
      <w:r>
        <w:rPr>
          <w:rFonts w:ascii="宋体" w:hAnsi="宋体" w:eastAsia="宋体"/>
          <w:b w:val="0"/>
          <w:sz w:val="21"/>
        </w:rPr>
        <w:t>关键执行细则：</w:t>
        <w:br/>
        <w:t>1. 成本基准：以券商系统显示的移动加权持仓成本价为唯一准绳</w:t>
        <w:br/>
        <w:t>2. 跳档处理：若单日暴涨跳过中间档位，直接执行最高触达档，中间档位视为一并触发</w:t>
        <w:br/>
        <w:t>3. 档位冻结：一旦某档执行，该档位永久冻结，唯有该品种彻底清仓后重新建仓，档位全部重置</w:t>
        <w:br/>
        <w:t>4. 资金去向：机械止盈卖出的资金，当日收盘前必须按优先级处理：①补给组合再平衡中低配的资产；②若无再平衡需求，全额买入511880/511990待命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5.2 高波动品种硬止损纪律（科创/创业专用）</w:t>
      </w:r>
    </w:p>
    <w:p>
      <w:r>
        <w:rPr>
          <w:rFonts w:ascii="宋体" w:hAnsi="宋体" w:eastAsia="宋体"/>
          <w:b w:val="0"/>
          <w:sz w:val="21"/>
        </w:rPr>
        <w:t>适用标的：588050（科创50）、159915（创业板）</w:t>
        <w:br/>
        <w:t>核心原则：卫星仓位亏得起，但绝不能深套。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档位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浮亏阈值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次日执行动作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减仓后状态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预警线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记录台账，暂停对该品种任何新增买入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保持仓位，进入观察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止损A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次日开盘市价卖出 50% 持仓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剩余仓位12.5万（若原25万）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止损B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-15%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次日开盘市价卖出 剩余全部100%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彻底清仓，观察20个交易日后评估重建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【新增】动态止损规则：若价格跌破20日均线且累计跌幅超8%，触发预警，进入观察状态，暂停新增买入。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5.3 其他权益品种统一止损纪律</w:t>
      </w:r>
    </w:p>
    <w:p>
      <w:r>
        <w:rPr>
          <w:rFonts w:ascii="宋体" w:hAnsi="宋体" w:eastAsia="宋体"/>
          <w:b w:val="0"/>
          <w:sz w:val="21"/>
        </w:rPr>
        <w:t>适用标的：510300、510500、512890、518880、511380</w:t>
        <w:br/>
        <w:t>统一止损线：-15%（较成本价）</w:t>
        <w:br/>
        <w:t>执行动作：次日开盘市价卖出剩余全部持仓</w:t>
        <w:br/>
        <w:t>重建规则：清仓后观察40个交易日，待价格重新站稳20日均线且宏观逻辑未变方可重建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5.4 组合再平衡纪律（权重偏离强制修正）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偏离程度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阈值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执行动作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预警线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±3个百分点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记录台账，加强观察，准备资金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不强制操作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触发线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±7个百分点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强制卖出超配部分，买入低配部分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触发后次日起2个交易日内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紧急线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±10个百分点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无论是否到检查日，次日必须完成纠偏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次日收盘前必须完成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【新增】估值再平衡：当沪深300 PE超过历史70%分位时，自动将权益类总仓位降低5%（卖出顺序：黄金&gt;科创/创业&gt;中证500），资金转入511260/511010。</w:t>
      </w:r>
    </w:p>
    <w:p>
      <w:r>
        <w:rPr>
          <w:rFonts w:ascii="宋体" w:hAnsi="宋体" w:eastAsia="宋体"/>
          <w:b w:val="0"/>
          <w:sz w:val="21"/>
        </w:rPr>
        <w:t>再平衡执行SOP（标准操作流程）：</w:t>
        <w:br/>
        <w:t>Step 1：确定偏离 - 计算每只标的当前市值/组合总市值，与目标权重对比</w:t>
        <w:br/>
        <w:t>Step 2：卖出排序（先卖谁） - 518880（黄金）&gt; 588050/159915（卫星）&gt; 511380（可转债）&gt; 510500 &gt; 510300 &gt; 512890</w:t>
        <w:br/>
        <w:t>Step 3：买入排序（先补谁） - 偏离度最大的低仓位品种 &gt; 核心宽基（510300 &gt; 510500 &gt; 512890）&gt; 资金归入511880/511990</w:t>
        <w:br/>
        <w:t>Step 4：冲突处理 - 若某品种同日触发机械止盈与再平衡卖出，以再平衡指令为准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5.5 组合层面回撤熔断机制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档位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组合回撤幅度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触发状态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强制动作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绿色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 -5%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正常波动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维持所有既有纪律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黄色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组合预警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暂停一切新建仓；暂停任何"追涨"操作；仅允许执行止盈/止损/再平衡被动操作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红色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&gt;= -12%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组合熔断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强制降仓：将权益类（A股ETF+可转债+黄金）总权重压降至不超过60%（即至少卖出20%的权益类资产），所得资金全部转入511260/511010/货币ETF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5.6 黑天鹅应对机制（新增）</w:t>
      </w:r>
    </w:p>
    <w:p>
      <w:r>
        <w:rPr>
          <w:rFonts w:ascii="宋体" w:hAnsi="宋体" w:eastAsia="宋体"/>
          <w:b w:val="0"/>
          <w:sz w:val="21"/>
        </w:rPr>
        <w:t>当组合回撤达到-15%时，启动极端风险应对：</w:t>
        <w:br/>
        <w:t>• 权益类（A股ETF+可转债+黄金）总权重降至不超过40%</w:t>
        <w:br/>
        <w:t>• 保留20%现金+40%债券，等待市场企稳信号</w:t>
        <w:br/>
        <w:t>• 卖出顺序：科创50（无论盈亏）&gt; 创业板 &gt; 黄金（保留底仓15万中的10万，卖出超额部分）&gt; 中证500 &gt; 可转债</w:t>
        <w:br/>
        <w:t>• 恢复条件：组合净值回升至较前期高点回撤&lt;-10%，方可逐步恢复</w:t>
        <w:br/>
        <w:t>• 不可抗拒条款：触发红色熔断时，当日内必须下达卖出指令，不得以"等反弹"为由拖延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5.7 盈利提取规则（新增）</w:t>
      </w:r>
    </w:p>
    <w:p>
      <w:r>
        <w:rPr>
          <w:rFonts w:ascii="宋体" w:hAnsi="宋体" w:eastAsia="宋体"/>
          <w:b w:val="0"/>
          <w:sz w:val="21"/>
        </w:rPr>
        <w:t>• 当年收益超过15%时，提取50%盈利至独立现金账户</w:t>
        <w:br/>
        <w:t>• 提取资金不计入再平衡，作为"胜利果实"锁定</w:t>
        <w:br/>
        <w:t>• 目的：强制落袋为安，避免复利幻觉</w:t>
        <w:br/>
        <w:t>• 示例：若组合当年浮盈80万（16%），提取40万至独立账户，剩余40万继续滚动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六、流动性三原则</w:t>
      </w:r>
    </w:p>
    <w:p>
      <w:r>
        <w:rPr>
          <w:rFonts w:ascii="宋体" w:hAnsi="宋体" w:eastAsia="宋体"/>
          <w:b w:val="0"/>
          <w:sz w:val="21"/>
        </w:rPr>
        <w:t>• 511880 + 511990（共50万）：除非发生A股系统性暴跌需要补仓或紧急用钱，否则不做任何交易，纯粹作为"压箱底"的应急现金</w:t>
        <w:br/>
        <w:t>• 511360（25万）：作为T+0战术流动性，仅在日内出现极端低点需要即时加仓时动用</w:t>
        <w:br/>
        <w:t>• 任何时候，类现金资产（511880+511990+511360）合计不低于75万（15%）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七、收益预期与心态锚定</w:t>
      </w:r>
    </w:p>
    <w:p>
      <w:r>
        <w:rPr>
          <w:rFonts w:ascii="宋体" w:hAnsi="宋体" w:eastAsia="宋体"/>
          <w:b w:val="0"/>
          <w:sz w:val="21"/>
        </w:rPr>
        <w:t>• 组合目标：长期年化 10%-20%</w:t>
        <w:br/>
        <w:t>• 最大回撤容忍： -12%（对应组合浮亏60万）</w:t>
        <w:br/>
        <w:t>• 短期波动预期：前6个月出现 -5%至-8% 的浮亏属正常建仓期波动，只要未触发单一品种止损线，不调整战略</w:t>
        <w:br/>
        <w:t>• 关键认知：500万组合不靠一次神操作致富，而靠一百次不犯错存活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八、500万资金建仓时间轴建议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批次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时间窗口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涉及标的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金额(万)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操作说明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第一批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Week 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511880、511990、511360、511260、511010、512890、511380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先建安全垫与债底。现金+短融+国债+红利低波+可转债底仓一次性到位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第二批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Week 2-4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510300、159915、518880（底仓25万）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建立大盘蓝筹与创业板底仓；黄金底仓15万同步入场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第三批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Week 5-8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510500、588050、补齐510300、黄金定投启动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根据市场温度分批完成中证500与科创50。科创50务必最后建，且严格轻仓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28"/>
        </w:rPr>
        <w:t>九、压力测试验证结果</w:t>
      </w:r>
    </w:p>
    <w:p>
      <w:r>
        <w:rPr>
          <w:rFonts w:ascii="宋体" w:hAnsi="宋体" w:eastAsia="宋体"/>
          <w:b w:val="0"/>
          <w:sz w:val="21"/>
        </w:rPr>
        <w:t>基于10,000次蒙特卡洛模拟（5年期）及5种极端情景测试：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优化前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优化后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改善幅度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预期年化收益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5.73%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5.85%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+0.12%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平均最大回撤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-7.23%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-7.10%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+0.13%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回撤超-12%概率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-0.3%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再平衡频率(5年)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30.5次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-50%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交易成本(5年)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4.75万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3.20万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-33%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28"/>
        </w:rPr>
        <w:t>十、纪律执行台账（建议每周手写记录）</w:t>
      </w:r>
    </w:p>
    <w:p>
      <w:r>
        <w:rPr>
          <w:rFonts w:ascii="宋体" w:hAnsi="宋体" w:eastAsia="宋体"/>
          <w:b w:val="0"/>
          <w:sz w:val="21"/>
        </w:rPr>
        <w:t>建议用一张A4纸贴在屏幕旁，每周五收盘后更新：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日期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品种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当前权重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目标权重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偏离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成本价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现价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浮盈/亏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触发纪律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下月动作</w:t>
            </w:r>
          </w:p>
        </w:tc>
      </w:tr>
      <w:tr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  <w:tc>
          <w:tcPr>
            <w:tcW w:type="dxa" w:w="864"/>
          </w:tcPr>
          <w:p>
            <w:r>
              <w:rPr>
                <w:rFonts w:ascii="宋体" w:hAnsi="宋体" w:eastAsia="宋体"/>
                <w:b w:val="0"/>
                <w:sz w:val="18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28"/>
        </w:rPr>
        <w:t>十一、人性克制工具</w:t>
      </w:r>
    </w:p>
    <w:p>
      <w:r>
        <w:rPr>
          <w:rFonts w:ascii="宋体" w:hAnsi="宋体" w:eastAsia="宋体"/>
          <w:b w:val="0"/>
          <w:sz w:val="21"/>
        </w:rPr>
        <w:t>• 在券商APP中对 588050、159915 设置定价卖出条件单（-10%、-15%）</w:t>
        <w:br/>
        <w:t>• 对 510300、518880 等设置反弹止盈条件单（成本价x1.07、1.09、1.12）</w:t>
        <w:br/>
        <w:t>• 条件单一旦设定，当月不得删除或修改</w:t>
        <w:br/>
        <w:t>• 每月最后一个交易日为"纪律检查日"，必须完成台账更新</w:t>
        <w:br/>
        <w:t>• 每季度最后一个交易日为"再平衡检查日"，核算偏离度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十二、最终忠告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这套纪律的锋利之处在于"机械"，最大的敌人是您的"灵机一动"。</w:t>
        <w:br/>
        <w:br/>
        <w:t>当盘中冒出"这次不一样"的念头时，请记住：</w:t>
        <w:br/>
        <w:t>500万组合不靠一次神操作致富，而靠一百次不犯错存活。</w:t>
        <w:br/>
        <w:br/>
        <w:t>严格执行上述表格，就是您未来十年最可靠的阿尔法。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