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200"/>
        <w:jc w:val="center"/>
        <w:textAlignment w:val="auto"/>
        <w:rPr>
          <w:rFonts w:hint="eastAsia"/>
          <w:sz w:val="36"/>
          <w:szCs w:val="44"/>
          <w:lang w:val="en-US" w:eastAsia="zh-CN"/>
        </w:rPr>
      </w:pPr>
      <w:bookmarkStart w:id="0" w:name="_GoBack"/>
      <w:r>
        <w:rPr>
          <w:rFonts w:hint="eastAsia"/>
          <w:sz w:val="36"/>
          <w:szCs w:val="44"/>
          <w:lang w:val="en-US" w:eastAsia="zh-CN"/>
        </w:rPr>
        <w:t>流动性压力指数：代码说明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代码的核心触发黄色潜在危机判定的理由：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银行和金融中介机构（尤其是传统商业银行、区域银行和部分影子银行）在美联储大幅降息周期（EFFR下降）中，往往是净息差（Net Interest Margin, NIM）压缩的最大受害者之一。这不是短期波动，而是利率传导机制的结构性不对称导致的系统性压力。下面详细拆解你提到的这段解释，并结合历史与机制深入说明。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1. 净息差（NIM）到底是什么？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NIM = （利息收入 - 利息支出） / 生息资产平均余额 × 100%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利息收入主要来自：贷款（企业贷、按揭、消费贷）、证券投资（国债、企业债等）的收益率（资产端）。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利息支出主要来自：存款（活期、定期）、同业借款、发行债券等的成本（负债端）。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NIM 是银行核心盈利来源，通常占银行净收入的60-80%。它直接影响净利息收入（NII），进而影响银行利润、资本充足率和放贷能力。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历史数据显示，低利率或降息周期会系统性压缩NIM，尤其当利率已处于较低水平时。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2. 为什么资产端（贷款收益率）随市场利率快速下降？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贷款定价机制：多数贷款与基准利率挂钩（如SOFR、Prime Rate，或直接参考Fed Funds Rate）。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浮动利率贷款（大量企业贷、HELOC、家装贷）在Fed降息后几乎立即重定价，收益率快速下行。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新发放贷款的定价也会跟随市场下移（抵押贷虽更多受10年期国债影响，但整体环境宽松时也会走低）。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固定利率贷款虽有滞后（需到期或再融资），但在长期低利率环境下，银行资产组合的整体收益率仍会逐步下降。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在你描述的阶段（EFFR/US02Y大幅下降，但真实收益率已贴近T10YIE/DFII10），资产端收益率已接近底部，继续降息的边际压缩效果依然明显。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结果：资产收益率快速、显著下降。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3. 为什么负债端（存款利率）有“地板”，下降缓慢或难降至零？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这是NIM压缩的核心不对称（利率下行黏性）：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零利率下限（Zero Lower Bound）：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存款利率不能轻易转为负利率（法律、监管和客户接受度限制）。活期存款利率通常有实际“地板”在0%附近，甚至付息存款也难降到零以下。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即使EFFR降至0-0.25%（如2008后或2020），许多存款利率仍维持在极低但非负水平。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存款成本下降滞后（Lag Effect）：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竞争与客户行为：银行担心存款流失到货币市场基金（MMF）、高收益储蓄或国债。如果其他银行或非银机构仍提供较高收益，银行不敢快速大幅下调存款利率。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存款组成变化：高利率时期，客户将资金从低息活期/储蓄转向高息定期存款（CDs）或付息账户。降息时，虽然单个账户利率下调，但“付息存款占比”可能仍高（客户黏性或 inertia），导致整体利息支出下降缓慢。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非利息bearing存款向付息存款的切换：降息初期，有些客户仍留在较高收益产品中，进一步推高平均付息成本。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历史观察：存款利率调整往往非对称——升息时银行快速上调以吸引存款，降息时则缓慢下调以保留客户。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其他负债：批发融资（同业、债券）成本也随市场下降，但存款仍是银行主要廉价资金来源（尤其是大银行的低成本核心存款）。中小银行对高息存款依赖更高，压力更大。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结果：负债成本下降幅度小于资产收益率下降幅度，或下降速度更慢 → NIM 被“挤压”。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4. NIM压缩的连锁后果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银行盈利下降：净利息收入减少，直接拖累净利润和ROA（资产回报率）。历史上，长期低利率期（如2008-2015、2020后）NIM显著下滑。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放贷意愿减弱：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盈利压力下，银行更倾向于惜贷（提高信贷标准、减少风险资产）、转向非息收入（手续费、投行等）或持有更多低风险证券。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这会削弱货币政策传导：Fed降息本想刺激信贷增长，但银行因NIM压力而“不想”或“不能”大力放贷，形成信贷紧缩放大器。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尤其在信用利差已上升的泡沫后期，企业实际借贷成本难降，进一步恶化实体经济。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资本与监管压力：盈利下降可能影响资本积累，监管要求下银行需更保守运营。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银行间分化：大银行（JPM等）因低成本存款优势和规模效应，受影响较小；区域银行、中小银行NIM压力更大（历史上SVB等事件中利率风险放大）。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5. 历史真实案例验证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2008-2009金融危机及后续：Fed将EFFR降至0-0.25%，NIM在低利率期显著压缩。银行盈利承压，信贷增长缓慢，Fed不得不依赖QE扩表补充流动性。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2020疫情：类似零利率环境，NIM一度降至历史低位（部分数据显示低至2.5%左右）。银行依赖费用收入和Fed支持。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近期周期（2024-2026视角）：在高利率后转为降息时，部分分析预计NIM面临压力，但实际数据因存款成本滞后和资产重定价而呈现混合表现（有些季度因成本下降更快而小幅回升）。总体上，持续降息仍被视为对NIM的长期拖累，尤其若利率接近中性或更低水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6. 为什么这是“泡沫后期”阶段的典型伤害？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在你之前描述的情景（名义短期利率已大幅下降，但真实借贷成本因风险厌恶而难进一步降低）下，继续激进降息会放大这种不对称：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政策已到“边际无效”区，银行却要承受NIM挤压的实实在在成本。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这会强化“Fed put”预期（市场赌Fed兜底），但同时削弱银行作为信贷中介的功能，形成恶性循环：经济更依赖央行直接干预（扩表），而非私人信贷创造。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总结：NIM压缩的本质是资产负债利率敏感度不对称——资产端“跟着市场走得快”，负债端“有地板 + 黏性强”。这让银行在降息刺激经济时反而自身盈利受损、放贷谨慎，最终削弱政策效果。历史上，这往往是低利率/零利率环境下的“副作用”，迫使Fed转向QE等非常规工具来间接支持银行体系流动性。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短期政策利率下降 + 实际利率已很低（贴近通胀预期/真实收益率）：表明经济已需要（或正在经历）刺激，但刺激空间有限。这通常是增长动能耗尽的信号——消费、投资放缓，美联储被迫“追赶”降息。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同时信用利差走宽：不是“良性”宽松（例如软着陆时的降息），而是“恶性”信号。市场不相信宽松能解决问题，反而担心企业部门脆弱性暴露（违约风险上升）。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整体画面：经济从“高利率紧缩”转向“宽松但无效”，伴随金融条件收紧（信贷成本对企业更高）。这符合经典衰退动态：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早期：美联储加息对抗通胀 → 收益率曲线可能倒挂。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中后期：经济放缓 → 美联储降息（EFFR/US02Y下降） → 但如果信用利差同时走宽，说明衰退已启动或即将到来（风险溢价主导市场）。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类似机制在过去衰退（如2008年金融危机前后、2020年疫情前信号）中出现：名义利率下行但真实刺激不足，信用市场先恶化。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三线合一，如果继续下降，贷款利息下降，存款利息无法同比例下降，银行净息差的减少，贷款甚至亏钱，银行会放贷意愿减弱提高信贷标准、减少风险资产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这会削弱货币政策传导：Fed降息本想刺激信贷增长，但银行因NIM压力而“不想”或“不能”大力放贷，形成信贷紧缩放大器。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尤其在信用利差已上升的泡沫后期，企业实际借贷成本难降，进一步恶化实体经济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这才是最后直接进入流动性危机的根本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32"/>
          <w:szCs w:val="40"/>
        </w:rPr>
      </w:pPr>
      <w:r>
        <w:rPr>
          <w:rFonts w:hint="eastAsia"/>
          <w:sz w:val="32"/>
          <w:szCs w:val="40"/>
        </w:rPr>
        <w:t>为什么危机时TGA大幅上涨？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财政刺激需要巨额现金缓冲：危机爆发时，政府迅速通过国会立法推出大规模财政救助（如2008-2009年的TARP、刺激计划；2020年的CARES Act等）。这些支出规模巨大且时间不确定（疫情封锁、失业潮、企业倒闭），财政部需要预先筹集大量现金，以确保随时能支付，而不依赖实时税收或短期市场波动。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税收收入在衰退中往往下降（企业利润、工资税减少），而支出激增 → 赤字扩大，需要借钱填补。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财政部倾向于提前大量发行国债（尤其是短期T-bills），把筹到的钱先存入TGA，形成高现金余额（buffer）。这避免了“花钱时再紧急发债导致市场恐慌”。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对金融系统的影响：TGA上涨会抽走银行储备（钱从私人部门流入财政部账户，减少银行系统的流动性）。但在危机中，Fed会通过大幅扩表（QE）同时购买国债，注入更多储备，抵消这一抽水效应，维持整体流动性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6424A0"/>
    <w:rsid w:val="0864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Office_11.8.2.12055_F1E327BC-269C-435d-A152-05C5408002CA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2026-04-29T10:35:00Z</dcterms:created>
  <dc:creator>阿拉丁神灯</dc:creator>
  <cp:lastModifiedBy>阿拉丁神灯</cp:lastModifiedBy>
  <dcterms:modified xsi:type="dcterms:W3CDTF">2026-04-29T10:40:32Z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2052-11.8.2.12055</vt:lpwstr>
  </property>
  <property fmtid="{D5CDD505-2E9C-101B-9397-08002B2CF9AE}" pid="3" name="ICV">
    <vt:lpwstr>8E52804BDB1F4404A7DF49A415BD1611</vt:lpwstr>
  </property>
</Properties>
</file>