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in these pages is verified against the underlying data and each player's role, target or carry share and injury status against this week's reports. The ATS and over/under records in the hub's power table were 2022 figures through the first version of these documents; they now come from TeamRankings and cover the current season, and the screenshots, fact tables and commentary here are rebuilt on that data.</w:t>
      </w:r>
    </w:p>
    <w:p>
      <w:pPr>
        <w:spacing w:after="160" w:line="276"/>
      </w:pPr>
      <w:r>
        <w:t xml:space="preserve">Five spreads where the book and the power ratings disagree most. The model number is SP+ differential plus home-field edge; the gap is the distance between it and the market.</w:t>
      </w:r>
    </w:p>
    <w:p>
      <w:pPr>
        <w:spacing w:after="160" w:line="276"/>
      </w:pPr>
      <w:r>
        <w:t xml:space="preserve">These are the five largest disagreements on the slate, unfiltered. An earlier cut screened out large lines on the theory that the model handles close games better. That did not survive testing: across 138 rated games the mean disagreement between book and model is flat by line size (3.40 / 3.67 / 3.90 / 3.06 / 4.28 from pick-em up through 28-point favourites), the correlation is +0.09, and there is no directional bias anywhere on the curve. Line size filters nothing.</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Georgia State 2025</w:t>
            </w:r>
          </w:p>
        </w:tc>
        <w:tc>
          <w:tcPr>
            <w:tcW w:type="dxa" w:w="6250"/>
            <w:shd w:fill="F4F5F7" w:val="clear"/>
            <w:tcMar>
              <w:top w:type="dxa" w:w="60"/>
              <w:left w:type="dxa" w:w="120"/>
              <w:bottom w:type="dxa" w:w="60"/>
              <w:right w:type="dxa" w:w="120"/>
            </w:tcMar>
          </w:tcPr>
          <w:p>
            <w:r>
              <w:rPr>
                <w:b/>
                <w:bCs/>
                <w:sz w:val="19"/>
                <w:szCs w:val="19"/>
              </w:rPr>
              <w:t xml:space="preserve">454 points allowed</w:t>
            </w:r>
          </w:p>
        </w:tc>
      </w:tr>
      <w:tr>
        <w:tc>
          <w:tcPr>
            <w:tcW w:type="dxa" w:w="3830"/>
            <w:shd w:fill="FFFFFF" w:val="clear"/>
            <w:tcMar>
              <w:top w:type="dxa" w:w="60"/>
              <w:left w:type="dxa" w:w="120"/>
              <w:bottom w:type="dxa" w:w="60"/>
              <w:right w:type="dxa" w:w="120"/>
            </w:tcMar>
          </w:tcPr>
          <w:p>
            <w:r>
              <w:rPr>
                <w:b w:val="false"/>
                <w:bCs w:val="false"/>
                <w:sz w:val="19"/>
                <w:szCs w:val="19"/>
              </w:rPr>
              <w:t xml:space="preserve">Dell McGee record</w:t>
            </w:r>
          </w:p>
        </w:tc>
        <w:tc>
          <w:tcPr>
            <w:tcW w:type="dxa" w:w="6250"/>
            <w:shd w:fill="FFFFFF" w:val="clear"/>
            <w:tcMar>
              <w:top w:type="dxa" w:w="60"/>
              <w:left w:type="dxa" w:w="120"/>
              <w:bottom w:type="dxa" w:w="60"/>
              <w:right w:type="dxa" w:w="120"/>
            </w:tcMar>
          </w:tcPr>
          <w:p>
            <w:r>
              <w:rPr>
                <w:b/>
                <w:bCs/>
                <w:sz w:val="19"/>
                <w:szCs w:val="19"/>
              </w:rPr>
              <w:t xml:space="preserve">4-20 SU (16.7%), 6-16 ATS</w:t>
            </w:r>
          </w:p>
        </w:tc>
      </w:tr>
    </w:tbl>
    <w:p>
      <w:pPr>
        <w:spacing w:after="180"/>
      </w:pPr>
    </w:p>
    <w:p>
      <w:pPr>
        <w:spacing w:after="160" w:line="276"/>
      </w:pPr>
      <w:r>
        <w:t xml:space="preserve">The book has UCF at -17.5. SP+ differential plus home field puts the number at -29.5 — UCF +2.3, Georgia State -25.1, home edge +2.1 — a 12.0-point gap, the largest on the slate.</w:t>
      </w:r>
    </w:p>
    <w:p>
      <w:pPr>
        <w:spacing w:after="160" w:line="276"/>
      </w:pPr>
      <w:r>
        <w:t xml:space="preserve">Georgia State is in Dell McGee's third season at 4-20 straight up (16.7%) and 6-16 against the spread, coming off 1-11 in 2025. The team file records a bottom-ten FBS finish in success rate, EPA and finishing drives, and a significant defensive staff overhaul: Cam Clark and John Haneline take over a multiple front expected to be safety-driven with nickel play the key. Hue Jackson calls a pro-style, run-first offense with Cameran Brown the expected starter. The 2025 defense allowed 454 points.</w:t>
      </w:r>
    </w:p>
    <w:p>
      <w:pPr>
        <w:spacing w:after="160" w:line="276"/>
      </w:pPr>
      <w:r>
        <w:t xml:space="preserve">UCF is Scott Frost's second year, 40-45 (47.1%) straight up and 34-33-3 against the spread for his career. Steve Cooper's offense is inside-zone based with power accents — IZ 23.3%, outside zone 13.9%, power 10.6%. Alex Grinch's defense runs a 2-4-5 base 68.5% of the time behind a man-aggressive shell, Cover-1 at 32.9%. The offensive line returns 5,006 snaps, 17th in FBS, and QB Alonza Barnett III arrives from James Madison as the Sun Belt Player of the Year with 49 career passing touchdowns and 23 rushing.</w:t>
      </w:r>
    </w:p>
    <w:p>
      <w:pPr>
        <w:spacing w:after="160" w:line="276"/>
      </w:pPr>
      <w:r>
        <w:t xml:space="preserve">Against the number: UCF lost 64 players to the portal against 33 inbound. Both teams are 2-0 against the spread this season, two games each. This is the largest lay on the card, and a late backdoor cover is how Kennesaw State beat the week-2 spread pick in this series.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ATS, this season</w:t>
            </w:r>
          </w:p>
        </w:tc>
        <w:tc>
          <w:tcPr>
            <w:tcW w:type="dxa" w:w="6250"/>
            <w:shd w:fill="FFFFFF" w:val="clear"/>
            <w:tcMar>
              <w:top w:type="dxa" w:w="60"/>
              <w:left w:type="dxa" w:w="120"/>
              <w:bottom w:type="dxa" w:w="60"/>
              <w:right w:type="dxa" w:w="120"/>
            </w:tcMar>
          </w:tcPr>
          <w:p>
            <w:r>
              <w:rPr>
                <w:b/>
                <w:bCs/>
                <w:sz w:val="19"/>
                <w:szCs w:val="19"/>
              </w:rPr>
              <w:t xml:space="preserve">0-2 (0%, 107th)</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r>
        <w:tc>
          <w:tcPr>
            <w:tcW w:type="dxa" w:w="3830"/>
            <w:shd w:fill="FFFFFF" w:val="clear"/>
            <w:tcMar>
              <w:top w:type="dxa" w:w="60"/>
              <w:left w:type="dxa" w:w="120"/>
              <w:bottom w:type="dxa" w:w="60"/>
              <w:right w:type="dxa" w:w="120"/>
            </w:tcMar>
          </w:tcPr>
          <w:p>
            <w:r>
              <w:rPr>
                <w:b w:val="false"/>
                <w:bCs w:val="false"/>
                <w:sz w:val="19"/>
                <w:szCs w:val="19"/>
              </w:rPr>
              <w:t xml:space="preserve">Tyson Helton record</w:t>
            </w:r>
          </w:p>
        </w:tc>
        <w:tc>
          <w:tcPr>
            <w:tcW w:type="dxa" w:w="6250"/>
            <w:shd w:fill="FFFFFF" w:val="clear"/>
            <w:tcMar>
              <w:top w:type="dxa" w:w="60"/>
              <w:left w:type="dxa" w:w="120"/>
              <w:bottom w:type="dxa" w:w="60"/>
              <w:right w:type="dxa" w:w="120"/>
            </w:tcMar>
          </w:tcPr>
          <w:p>
            <w:r>
              <w:rPr>
                <w:b/>
                <w:bCs/>
                <w:sz w:val="19"/>
                <w:szCs w:val="19"/>
              </w:rPr>
              <w:t xml:space="preserve">58-35 SU (62.4%), 51-36-1 ATS</w:t>
            </w:r>
          </w:p>
        </w:tc>
      </w:tr>
    </w:tbl>
    <w:p>
      <w:pPr>
        <w:spacing w:after="180"/>
      </w:pPr>
    </w:p>
    <w:p>
      <w:pPr>
        <w:spacing w:after="160" w:line="276"/>
      </w:pPr>
      <w:r>
        <w:t xml:space="preserve">Indiana is laying 44.5. SP+ plus home field puts the number at 32.6 — Indiana +24.5, Western Kentucky -5.3 — an 11.9-point gap.</w:t>
      </w:r>
    </w:p>
    <w:p>
      <w:pPr>
        <w:spacing w:after="160" w:line="276"/>
      </w:pPr>
      <w:r>
        <w:t xml:space="preserve">Indiana is Curt Cignetti's third year at 46-6 (88.5%) straight up and 33-18 against the spread, with full staff continuity behind him: OC Mike Shanahan in year three running the Big Ten's most middle-committed ground game (31.0% of direction, inside zone 28.7%, man 17.3%), DC Bryant Haines in year three keeping the title-winning 4-2-5 base over a Cover-3 spine at 36.8%. QB Josh Hoover arrives from TCU with a 70:33 career touchdown-to-interception ratio; his turnover-worthy-play rate rises from 4.4% to 12.4% under pressure. Indiana plays every September game at home.</w:t>
      </w:r>
    </w:p>
    <w:p>
      <w:pPr>
        <w:spacing w:after="160" w:line="276"/>
      </w:pPr>
      <w:r>
        <w:t xml:space="preserve">Western Kentucky is Tyson Helton at 58-35 (62.4%) straight up and 51-36-1 against the spread. OC Bodie Reeder arrives from Middle Tennessee and the file expects the pass-heavy, up-tempo spread to continue; DC Davis Merritt was promoted internally with no scheme change, a 3-3-5 base at 55.6% with a real 2-3-6 dime package at 13.2%. The offense grades 74.6 and the defense 79.3. Returning offensive line snaps: 2,423, 116th in FBS. Nine of the top eleven tacklers are gone.</w:t>
      </w:r>
    </w:p>
    <w:p>
      <w:pPr>
        <w:spacing w:after="160" w:line="276"/>
      </w:pPr>
      <w:r>
        <w:t xml:space="preserve">Against the number: Indiana scored 532 and allowed 131 in 2025, the widest margin on this card. Western Kentucky's quarterback job ran into fall camp between Rodney Tisdale (six starts, 9:7 TD-to-INT), Brock Glenn (175 attempts at Florida State) and Caleb McMickle (no career attempts), and this is their third straight road game to open the season with no FBS home game until October 8. Both teams are 0-2 against the spread this season.</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ATS, this season</w:t>
            </w:r>
          </w:p>
        </w:tc>
        <w:tc>
          <w:tcPr>
            <w:tcW w:type="dxa" w:w="6250"/>
            <w:shd w:fill="F4F5F7" w:val="clear"/>
            <w:tcMar>
              <w:top w:type="dxa" w:w="60"/>
              <w:left w:type="dxa" w:w="120"/>
              <w:bottom w:type="dxa" w:w="60"/>
              <w:right w:type="dxa" w:w="120"/>
            </w:tcMar>
          </w:tcPr>
          <w:p>
            <w:r>
              <w:rPr>
                <w:b/>
                <w:bCs/>
                <w:sz w:val="19"/>
                <w:szCs w:val="19"/>
              </w:rPr>
              <w:t xml:space="preserve">0-2 (0%, 107th)</w:t>
            </w:r>
          </w:p>
        </w:tc>
      </w:tr>
      <w:tr>
        <w:tc>
          <w:tcPr>
            <w:tcW w:type="dxa" w:w="3830"/>
            <w:shd w:fill="FFFFFF" w:val="clear"/>
            <w:tcMar>
              <w:top w:type="dxa" w:w="60"/>
              <w:left w:type="dxa" w:w="120"/>
              <w:bottom w:type="dxa" w:w="60"/>
              <w:right w:type="dxa" w:w="120"/>
            </w:tcMar>
          </w:tcPr>
          <w:p>
            <w:r>
              <w:rPr>
                <w:b w:val="false"/>
                <w:bCs w:val="false"/>
                <w:sz w:val="19"/>
                <w:szCs w:val="19"/>
              </w:rPr>
              <w:t xml:space="preserve">Joey McGuire record</w:t>
            </w:r>
          </w:p>
        </w:tc>
        <w:tc>
          <w:tcPr>
            <w:tcW w:type="dxa" w:w="6250"/>
            <w:shd w:fill="FFFFFF" w:val="clear"/>
            <w:tcMar>
              <w:top w:type="dxa" w:w="60"/>
              <w:left w:type="dxa" w:w="120"/>
              <w:bottom w:type="dxa" w:w="60"/>
              <w:right w:type="dxa" w:w="120"/>
            </w:tcMar>
          </w:tcPr>
          <w:p>
            <w:r>
              <w:rPr>
                <w:b/>
                <w:bCs/>
                <w:sz w:val="19"/>
                <w:szCs w:val="19"/>
              </w:rPr>
              <w:t xml:space="preserve">35-18 SU (66.0%), 30-18-1 ATS</w:t>
            </w:r>
          </w:p>
        </w:tc>
      </w:tr>
    </w:tbl>
    <w:p>
      <w:pPr>
        <w:spacing w:after="180"/>
      </w:pPr>
    </w:p>
    <w:p>
      <w:pPr>
        <w:spacing w:after="160" w:line="276"/>
      </w:pPr>
      <w:r>
        <w:t xml:space="preserve">Texas Tech is laying 7.5. SP+ plus home field puts the number at 18.2 — Texas Tech +23.1, Houston +8.2, home edge +3.3 — a 10.7-point gap.</w:t>
      </w:r>
    </w:p>
    <w:p>
      <w:pPr>
        <w:spacing w:after="160" w:line="276"/>
      </w:pPr>
      <w:r>
        <w:t xml:space="preserve">Texas Tech is Joey McGuire at 35-18 (66.0%) straight up and 30-18-1 against the spread, with scheme continuity: OC Mack Leftwich is inside-zone heavy at 27.5% with counter at 12.1%, and DC Shiel Wood runs a hybrid 2-4-5 (57.6%) and 3-3-5 (33.2%) behind Cover-3 at 24.2%. The file expects the best front seven in the Big 12, naming DE Adam Trick, DE Trey White and DI Anthony Holmes as NFL prospects. The offensive line returns 5,229 snaps, 12th in FBS. Brendan Sorsby departed the program, leaving Will Hammond — listed as questionable off an ACL injury — as the quarterback.</w:t>
      </w:r>
    </w:p>
    <w:p>
      <w:pPr>
        <w:spacing w:after="160" w:line="276"/>
      </w:pPr>
      <w:r>
        <w:t xml:space="preserve">Houston is Willie Fritz at 85-65 (56.7%) straight up and 99-67-2 against the spread. OC Slade Nagle's offense is inside-zone based and unusually direction-balanced (23.9% middle, 14.6% left, 13.5% right); DC Austin Armstrong runs a 3-3-5 base at 70.2% with a quarters lead at 30.8%. QB Conner Weigman returns for a fifth season off 25 touchdowns to 9 interceptions plus 11 rushing scores, with RB Makhi Hughes arriving from Oregon. The line returns 5,542 snaps, 4th in FBS, and the 2025 defense ranked 35th in havoc and 19th in pass breakups per game.</w:t>
      </w:r>
    </w:p>
    <w:p>
      <w:pPr>
        <w:spacing w:after="160" w:line="276"/>
      </w:pPr>
      <w:r>
        <w:t xml:space="preserve">Against the number: Houston brings the fourth-most experienced returning offensive line in the country against Tech's front seven, and Houston's own schedule file flags week 4 at Georgia Southern as the sandwich spot rather than this game. Texas Tech is 0-2 against the spread this season, 107th nationally.</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Clemson -3.0</w:t>
      </w:r>
    </w:p>
    <w:p>
      <w:pPr>
        <w:spacing w:after="200"/>
      </w:pPr>
      <w:r>
        <w:rPr>
          <w:color w:val="5A6270"/>
          <w:sz w:val="21"/>
          <w:szCs w:val="21"/>
        </w:rPr>
        <w:t xml:space="preserve">North Carolina Tar Heels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Clemson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Clemson -11.5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8.5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Clemson +12.8 (38th) vs North Carolina +3.8 (96th)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Clemson 344/245, North Carolina 231/294</w:t>
            </w:r>
          </w:p>
        </w:tc>
      </w:tr>
      <w:tr>
        <w:tc>
          <w:tcPr>
            <w:tcW w:type="dxa" w:w="3830"/>
            <w:shd w:fill="FFFFFF" w:val="clear"/>
            <w:tcMar>
              <w:top w:type="dxa" w:w="60"/>
              <w:left w:type="dxa" w:w="120"/>
              <w:bottom w:type="dxa" w:w="60"/>
              <w:right w:type="dxa" w:w="120"/>
            </w:tcMar>
          </w:tcPr>
          <w:p>
            <w:r>
              <w:rPr>
                <w:b w:val="false"/>
                <w:bCs w:val="false"/>
                <w:sz w:val="19"/>
                <w:szCs w:val="19"/>
              </w:rPr>
              <w:t xml:space="preserve">Returning OL snaps</w:t>
            </w:r>
          </w:p>
        </w:tc>
        <w:tc>
          <w:tcPr>
            <w:tcW w:type="dxa" w:w="6250"/>
            <w:shd w:fill="FFFFFF" w:val="clear"/>
            <w:tcMar>
              <w:top w:type="dxa" w:w="60"/>
              <w:left w:type="dxa" w:w="120"/>
              <w:bottom w:type="dxa" w:w="60"/>
              <w:right w:type="dxa" w:w="120"/>
            </w:tcMar>
          </w:tcPr>
          <w:p>
            <w:r>
              <w:rPr>
                <w:b/>
                <w:bCs/>
                <w:sz w:val="19"/>
                <w:szCs w:val="19"/>
              </w:rPr>
              <w:t xml:space="preserve">North Carolina 1,126 (135th FBS)</w:t>
            </w:r>
          </w:p>
        </w:tc>
      </w:tr>
    </w:tbl>
    <w:p>
      <w:pPr>
        <w:spacing w:after="180"/>
      </w:pPr>
    </w:p>
    <w:p>
      <w:pPr>
        <w:spacing w:after="160" w:line="276"/>
      </w:pPr>
      <w:r>
        <w:t xml:space="preserve">Clemson is laying 3. SP+ plus home field puts the number at 11.5 — Clemson +12.8, 38th nationally, against North Carolina +3.8, 96th — an 8.5-point gap.</w:t>
      </w:r>
    </w:p>
    <w:p>
      <w:pPr>
        <w:spacing w:after="160" w:line="276"/>
      </w:pPr>
      <w:r>
        <w:t xml:space="preserve">Clemson is Dabo Swinney at 186-53 (77.8%) straight up. OC Chad Morris runs the most even concept distribution among ACC contenders: inside zone 16.6%, counter 12.0%, power 10.7%. DC Tom Allen's shell is a hybrid 2-4-5 and 3-3-5 with a near-even Cover-3 / Cover-1 split (33.0% / 31.0%), the most man-willing contender defense in the conference, and it returns four of its top five tacklers with portal safeties Jerome Carter and Corey Myrick added. The defense grades 89.9 overall, 88.7 against the run, 81.2 in coverage. Chris Vizzina came out of spring as QB1 with no portal addition behind him.</w:t>
      </w:r>
    </w:p>
    <w:p>
      <w:pPr>
        <w:spacing w:after="160" w:line="276"/>
      </w:pPr>
      <w:r>
        <w:t xml:space="preserve">North Carolina is Bill Belichick's second year after a 4-8 debut that finished outside the top 100 in nearly every offensive metric. OC Freddie Kitchens was fired and Bobby Petrino takes over the offense; the returning offensive line is 1,126 snaps, 135th in FBS. Steve Belichick's defense continues unchanged — a 2-4-5 (66.9%) and 2-5-4 (18.1%) sub-package structure with Cover-3 at 32.0% and Cover-1 at 29.8% — but the top three tacklers depart, with Edge Melkart Abou-Jaoude and his 10.5 sacks the main returner. The unit-matchup table favours Clemson in all five pairings on that side of the ball: +29.6 run block against run defense, +17.3 receivers against coverage, +15.6 pass offense against pass rush.</w:t>
      </w:r>
    </w:p>
    <w:p>
      <w:pPr>
        <w:spacing w:after="160" w:line="276"/>
      </w:pPr>
      <w:r>
        <w:t xml:space="preserve">Against the number: Clemson is 0-2 against the spread this season and Swinney's career mark is 124-109-1, close to even. Clemson's own schedule file flags this as a sandwich spot — a short-rest Friday game at Cal follows, with Miami in week 5. Both offensive lines grade 59.1 at run blocking, and North Carolina's front seven averages 73.6 against a Clemson line-and-backfield unit at 67.3.</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Nevada -12.2 (115th) vs Middle Tennessee -26.0 (125th)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Nevada 211/330, Middle Tennessee 269/371</w:t>
            </w:r>
          </w:p>
        </w:tc>
      </w:tr>
      <w:tr>
        <w:tc>
          <w:tcPr>
            <w:tcW w:type="dxa" w:w="3830"/>
            <w:shd w:fill="FFFFFF" w:val="clear"/>
            <w:tcMar>
              <w:top w:type="dxa" w:w="60"/>
              <w:left w:type="dxa" w:w="120"/>
              <w:bottom w:type="dxa" w:w="60"/>
              <w:right w:type="dxa" w:w="120"/>
            </w:tcMar>
          </w:tcPr>
          <w:p>
            <w:r>
              <w:rPr>
                <w:b w:val="false"/>
                <w:bCs w:val="false"/>
                <w:sz w:val="19"/>
                <w:szCs w:val="19"/>
              </w:rPr>
              <w:t xml:space="preserve">Derek Mason record</w:t>
            </w:r>
          </w:p>
        </w:tc>
        <w:tc>
          <w:tcPr>
            <w:tcW w:type="dxa" w:w="6250"/>
            <w:shd w:fill="FFFFFF" w:val="clear"/>
            <w:tcMar>
              <w:top w:type="dxa" w:w="60"/>
              <w:left w:type="dxa" w:w="120"/>
              <w:bottom w:type="dxa" w:w="60"/>
              <w:right w:type="dxa" w:w="120"/>
            </w:tcMar>
          </w:tcPr>
          <w:p>
            <w:r>
              <w:rPr>
                <w:b/>
                <w:bCs/>
                <w:sz w:val="19"/>
                <w:szCs w:val="19"/>
              </w:rPr>
              <w:t xml:space="preserve">33-72 SU (31.4%), 48-56-1 ATS</w:t>
            </w:r>
          </w:p>
        </w:tc>
      </w:tr>
    </w:tbl>
    <w:p>
      <w:pPr>
        <w:spacing w:after="180"/>
      </w:pPr>
    </w:p>
    <w:p>
      <w:pPr>
        <w:spacing w:after="160" w:line="276"/>
      </w:pPr>
      <w:r>
        <w:t xml:space="preserve">The book has Middle Tennessee at +3.5 at home. SP+ plus home field puts them at +11.8 — Middle Tennessee -26.0, 125th nationally, against Nevada -12.2, 115th — an 8.3-point gap, which makes the side Nevada -3.5.</w:t>
      </w:r>
    </w:p>
    <w:p>
      <w:pPr>
        <w:spacing w:after="160" w:line="276"/>
      </w:pPr>
      <w:r>
        <w:t xml:space="preserve">Middle Tennessee is Derek Mason at 33-72 (31.4%) straight up and 48-56-1 against the spread. Bodie Reeder's pass-lean menu left for Western Kentucky; Anthony Scelfo arrives from Southeastern Louisiana and the file says he will call a run-heavy game to control clock, bringing portal players and his former offensive line coach with him. QB Roman Gagliano took over in week 12 as a freshman and closed the season with 7 passing touchdowns, 9 big-time throws and no interceptions. DC Brian Stewart keeps the odd fronts — 3-3-5 at 62.9%, 3-4-4 at 26.4% — with a man-forward Cover-1 lead at 29.2%, but six of seven tacklers are gone. Returning offensive line snaps: 2,944, 100th in FBS, and the pass block grade of 48.3 is the second-lowest in these documents, ahead of only Georgia State's 43.1.</w:t>
      </w:r>
    </w:p>
    <w:p>
      <w:pPr>
        <w:spacing w:after="160" w:line="276"/>
      </w:pPr>
      <w:r>
        <w:t xml:space="preserve">Nevada is Jeff Choate's third year at 6-19 (24.0%) straight up and 10-11-2 against the spread. New OC Brett Bartolone replaces a run-first scheme with the pass-first spread option he called at Jackson State, and the file records an explicit move to up-tempo after averaging 26.5 seconds per play in 2025. DC Kane Ioane keeps a 2-4-5 base at 67.4% with real dime usage at 10.4% behind a Cover-3 lead. The defense grades 86.6 overall, 82.6 in pass rush and 78.5 in coverage, each ahead of Middle Tennessee's equivalent. DE Dylan Labarbera returns with 10.5 tackles for loss and 6.5 sacks; CB Aiden Walker is listed among the best in the Mountain West.</w:t>
      </w:r>
    </w:p>
    <w:p>
      <w:pPr>
        <w:spacing w:after="160" w:line="276"/>
      </w:pPr>
      <w:r>
        <w:t xml:space="preserve">Against the number: Nevada's passing grade is 46.2, the lowest passing grade in these documents, and the receiver room is a near-reset with Marshaun Brown and Ky Woods the only experienced returners. Nevada's line returns 2,417 snaps, 118th. Middle Tennessee is 2-0 against the spread this season, and their run defense grades 90.3 against Nevada's 84.9. The model's edge comes from an SP+ gap built on 2025 data for two teams that both changed offensive coordinator.</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03a47cb053f34a9799ea9ef0cade97fce0f9c5.png"/><Relationship Id="rId8" Type="http://schemas.openxmlformats.org/officeDocument/2006/relationships/image" Target="media/707d72dc97163a58184446e1a7ad226b4926d31e.png"/><Relationship Id="rId9" Type="http://schemas.openxmlformats.org/officeDocument/2006/relationships/image" Target="media/a91b56ef750a082e9005106612dd32028d20bcf6.png"/><Relationship Id="rId10" Type="http://schemas.openxmlformats.org/officeDocument/2006/relationships/image" Target="media/6996667389f3bcd51a42d3fe3c91ccf8133dcb45.png"/><Relationship Id="rId11" Type="http://schemas.openxmlformats.org/officeDocument/2006/relationships/image" Target="media/7673dbcebd02b369b9a588131e3fd662bfcaf8b0.png"/><Relationship Id="rId12" Type="http://schemas.openxmlformats.org/officeDocument/2006/relationships/image" Target="media/5163a4924a9070dfb64e1f0f19b897d190b2d8c6.png"/><Relationship Id="rId13" Type="http://schemas.openxmlformats.org/officeDocument/2006/relationships/image" Target="media/b9046b287a0715408740cc934715401a49705460.png"/><Relationship Id="rId14" Type="http://schemas.openxmlformats.org/officeDocument/2006/relationships/image" Target="media/4b922a45f8490fe3fa5ccdad26d22fda3b031596.png"/><Relationship Id="rId15" Type="http://schemas.openxmlformats.org/officeDocument/2006/relationships/image" Target="media/5a84047050ff2f433d3c5f4c6c3af8efc3851781.png"/><Relationship Id="rId16" Type="http://schemas.openxmlformats.org/officeDocument/2006/relationships/image" Target="media/1d71e4a62743e316446134c3bb35c428240730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2026-09-19T04:15:38.853Z</dcterms:created>
  <dcterms:modified xsi:type="dcterms:W3CDTF">2026-09-19T04:15:38.853Z</dcterms:modified>
</cp:coreProperties>
</file>

<file path=docProps/custom.xml><?xml version="1.0" encoding="utf-8"?>
<Properties xmlns="http://schemas.openxmlformats.org/officeDocument/2006/custom-properties" xmlns:vt="http://schemas.openxmlformats.org/officeDocument/2006/docPropsVTypes"/>
</file>