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5 · Saturday October 3, 2026</w:t>
      </w:r>
    </w:p>
    <w:p>
      <w:pPr>
        <w:spacing w:after="160" w:line="276"/>
      </w:pPr>
      <w:r>
        <w:t xml:space="preserve">Every figure below is checked against the source data before it is written. Team grades, five-factor ranks and per-game scoring come from the 2026 PFF team grades and the season-to-date CFBData ranks; each player's role, share and production come from the 2026 PFF season files. Per-game scoring uses each team's own game count, which is three, four or five this week. Where a rank ends in .5 the teams are tied and it is written as “tied Nth”. All fifteen kickoffs are verified Saturday in Eastern time.</w:t>
      </w:r>
    </w:p>
    <w:p>
      <w:pPr>
        <w:spacing w:after="160" w:line="276"/>
      </w:pPr>
      <w:r>
        <w:t xml:space="preserve">Season to date: 18-23-2 and one void, down 7.91 units across 44 picks. Spreads 5-10 (-6.00u), totals 6-6-2 (-0.60u), props 7-7 and one void (-1.31u).</w:t>
      </w:r>
    </w:p>
    <w:p>
      <w:pPr>
        <w:spacing w:after="160" w:line="276"/>
      </w:pPr>
      <w:r>
        <w:t xml:space="preserve">Five spreads chosen on agreement between independent measures rather than on the size of the disagreement with the market. The model number is the SP+ differential plus home field. The points check is built only from each team’s own 2026 point differential plus home field, and shares no input with SP+.</w:t>
      </w:r>
    </w:p>
    <w:p>
      <w:pPr>
        <w:spacing w:after="160" w:line="276"/>
      </w:pPr>
      <w:r>
        <w:t xml:space="preserve">The reasoning behind that choice: a large gap between a public rating and the market is about as likely to mean the market knows something — an injury, a situational factor, a number that has already moved — as it is to mean there is value sitting there. Two measures built from different inputs landing on the same side is harder to dismiss. Every pick below clears that test, and the distance each measure puts between its own number and the market is quoted so the thin ones are visible.</w:t>
      </w:r>
    </w:p>
    <w:p>
      <w:pPr>
        <w:spacing w:after="160" w:line="276"/>
      </w:pPr>
      <w:r>
        <w:t xml:space="preserve">Across the 49 rated Saturday games the model sits 0.4 points more toward the home favourite than the market does, so each gap is quoted net of that level. One exclusion carries over: do not lay a price into a team whose ATS record is running ahead of its rating, a shape that accounted for four losses in weeks 2 and 3. It removes nothing this week, because no selected game fades a team covering at 75% or better.</w:t>
      </w:r>
    </w:p>
    <w:p>
      <w:pPr>
        <w:spacing w:after="160" w:line="276"/>
      </w:pPr>
      <w:r>
        <w:t xml:space="preserve">Spreads are the weakest of the three categories on the season at 5-10 and -6.00 units. On sample size, stated once: 44 graded picks is far too few to establish or refute an edge. Separating a genuine 55% win rate from breakeven at -110 takes roughly 1,400 bets. Read what follows as positions with their reasoning and their risks written down, not as a demonstrated advantage.</w:t>
      </w:r>
    </w:p>
    <w:p>
      <w:pPr>
        <w:spacing w:after="160" w:line="276"/>
      </w:pPr>
      <w:r>
        <w:t xml:space="preserve">Ratings and the Five Factors come from the 2026 workbook: SP+, TAN, implied team totals and the season-to-date CFBData ranks, out of 138 teams. Player lines are 2026 PFF season to date. Records, ATS and over/under records are TeamRankings, 2026 to date. The PFF team grade file covers four games for 120 teams, three for ten and five for eight.</w:t>
      </w:r>
    </w:p>
    <w:p>
      <w:pPr>
        <w:pBdr>
          <w:bottom w:val="single" w:color="C9CDD4" w:sz="6" w:space="1"/>
        </w:pBdr>
        <w:spacing w:after="240" w:before="60"/>
      </w:pPr>
    </w:p>
    <w:p>
      <w:pPr>
        <w:pStyle w:val="Heading2"/>
        <w:spacing w:after="20"/>
      </w:pPr>
      <w:r>
        <w:t xml:space="preserve">Eastern Michigan Eagles @ UMass Minutemen</w:t>
      </w:r>
    </w:p>
    <w:p>
      <w:pPr>
        <w:pStyle w:val="Heading3"/>
        <w:spacing w:after="200"/>
      </w:pPr>
      <w:r>
        <w:t xml:space="preserve">UMass -6.0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UMass -6.0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UMass -13.3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7.3 pts, 6.9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UMass -17.4, which is 11.4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UMass -6.2 (94th) vs Eastern Michigan -18.0 (127th), home edge +1.5</w:t>
            </w:r>
          </w:p>
        </w:tc>
      </w:tr>
      <w:tr>
        <w:tc>
          <w:tcPr>
            <w:tcW w:type="dxa" w:w="3830"/>
            <w:shd w:fill="F4F5F7" w:val="clear"/>
            <w:tcMar>
              <w:top w:type="dxa" w:w="60"/>
              <w:left w:type="dxa" w:w="120"/>
              <w:bottom w:type="dxa" w:w="60"/>
              <w:right w:type="dxa" w:w="120"/>
            </w:tcMar>
          </w:tcPr>
          <w:p>
            <w:r>
              <w:rPr>
                <w:b w:val="false"/>
                <w:bCs w:val="false"/>
                <w:sz w:val="19"/>
                <w:szCs w:val="19"/>
              </w:rPr>
              <w:t xml:space="preserve">UMass 2026</w:t>
            </w:r>
          </w:p>
        </w:tc>
        <w:tc>
          <w:tcPr>
            <w:tcW w:type="dxa" w:w="6250"/>
            <w:shd w:fill="F4F5F7" w:val="clear"/>
            <w:tcMar>
              <w:top w:type="dxa" w:w="60"/>
              <w:left w:type="dxa" w:w="120"/>
              <w:bottom w:type="dxa" w:w="60"/>
              <w:right w:type="dxa" w:w="120"/>
            </w:tcMar>
          </w:tcPr>
          <w:p>
            <w:r>
              <w:rPr>
                <w:b/>
                <w:bCs/>
                <w:sz w:val="19"/>
                <w:szCs w:val="19"/>
              </w:rPr>
              <w:t xml:space="preserve">4-0, 3-1 ATS, 36.3 points a game and 12.8 allowed</w:t>
            </w:r>
          </w:p>
        </w:tc>
      </w:tr>
      <w:tr>
        <w:tc>
          <w:tcPr>
            <w:tcW w:type="dxa" w:w="3830"/>
            <w:shd w:fill="FFFFFF" w:val="clear"/>
            <w:tcMar>
              <w:top w:type="dxa" w:w="60"/>
              <w:left w:type="dxa" w:w="120"/>
              <w:bottom w:type="dxa" w:w="60"/>
              <w:right w:type="dxa" w:w="120"/>
            </w:tcMar>
          </w:tcPr>
          <w:p>
            <w:r>
              <w:rPr>
                <w:b w:val="false"/>
                <w:bCs w:val="false"/>
                <w:sz w:val="19"/>
                <w:szCs w:val="19"/>
              </w:rPr>
              <w:t xml:space="preserve">UMass defense</w:t>
            </w:r>
          </w:p>
        </w:tc>
        <w:tc>
          <w:tcPr>
            <w:tcW w:type="dxa" w:w="6250"/>
            <w:shd w:fill="FFFFFF" w:val="clear"/>
            <w:tcMar>
              <w:top w:type="dxa" w:w="60"/>
              <w:left w:type="dxa" w:w="120"/>
              <w:bottom w:type="dxa" w:w="60"/>
              <w:right w:type="dxa" w:w="120"/>
            </w:tcMar>
          </w:tcPr>
          <w:p>
            <w:r>
              <w:rPr>
                <w:b/>
                <w:bCs/>
                <w:sz w:val="19"/>
                <w:szCs w:val="19"/>
              </w:rPr>
              <w:t xml:space="preserve">1st in Finishing Drives allowed, 6th in Explosiveness, 92.2 defensive grade</w:t>
            </w:r>
          </w:p>
        </w:tc>
      </w:tr>
      <w:tr>
        <w:tc>
          <w:tcPr>
            <w:tcW w:type="dxa" w:w="3830"/>
            <w:shd w:fill="F4F5F7" w:val="clear"/>
            <w:tcMar>
              <w:top w:type="dxa" w:w="60"/>
              <w:left w:type="dxa" w:w="120"/>
              <w:bottom w:type="dxa" w:w="60"/>
              <w:right w:type="dxa" w:w="120"/>
            </w:tcMar>
          </w:tcPr>
          <w:p>
            <w:r>
              <w:rPr>
                <w:b w:val="false"/>
                <w:bCs w:val="false"/>
                <w:sz w:val="19"/>
                <w:szCs w:val="19"/>
              </w:rPr>
              <w:t xml:space="preserve">Eastern Michigan offense</w:t>
            </w:r>
          </w:p>
        </w:tc>
        <w:tc>
          <w:tcPr>
            <w:tcW w:type="dxa" w:w="6250"/>
            <w:shd w:fill="F4F5F7" w:val="clear"/>
            <w:tcMar>
              <w:top w:type="dxa" w:w="60"/>
              <w:left w:type="dxa" w:w="120"/>
              <w:bottom w:type="dxa" w:w="60"/>
              <w:right w:type="dxa" w:w="120"/>
            </w:tcMar>
          </w:tcPr>
          <w:p>
            <w:r>
              <w:rPr>
                <w:b/>
                <w:bCs/>
                <w:sz w:val="19"/>
                <w:szCs w:val="19"/>
              </w:rPr>
              <w:t xml:space="preserve">2-3, 19.0 a game, 122nd Success Rate, 58.5 passing</w:t>
            </w:r>
          </w:p>
        </w:tc>
      </w:tr>
    </w:tbl>
    <w:p>
      <w:pPr>
        <w:spacing w:after="180"/>
      </w:pPr>
    </w:p>
    <w:p>
      <w:pPr>
        <w:spacing w:after="160" w:line="276"/>
      </w:pPr>
      <w:r>
        <w:t xml:space="preserve">Book has UMass -6.0. The rating says -13.3 and the points check, built only from each team's own 2026 point differential plus home field, says -17.4. Two measures that share no inputs land 7 and 11 points past the market, and both say the same thing.</w:t>
      </w:r>
    </w:p>
    <w:p>
      <w:pPr>
        <w:spacing w:after="160" w:line="276"/>
      </w:pPr>
      <w:r>
        <w:t xml:space="preserve">UMass are 4-0 and the defense is the reason. They rank 1st nationally in Finishing Drives allowed and 6th in Explosiveness allowed, on a 92.2 defensive grade, 92.5 against the run, 91.0 in coverage and 84.4 tackling. They have given up 12.8 points a game. That is not a 6-point home team's profile.</w:t>
      </w:r>
    </w:p>
    <w:p>
      <w:pPr>
        <w:spacing w:after="160" w:line="276"/>
      </w:pPr>
      <w:r>
        <w:t xml:space="preserve">Eastern Michigan have scored 19.0 a game across five, on an offense ranked 122nd in Success Rate, 112th in Explosiveness and 114th in Finishing Drives behind a 58.5 passing grade and a 58.3 pass block grade. Their own defense is respectable in coverage at 81.8 but tackles at 52.6, which is the unit UMass's 85.1 run grade attacks.</w:t>
      </w:r>
    </w:p>
    <w:p>
      <w:pPr>
        <w:spacing w:after="160" w:line="276"/>
      </w:pPr>
      <w:r>
        <w:t xml:space="preserve">The risk is the number rather than the matchup. Laying 6 means a one-score win does not pay, and UMass play the slowest tempo in the country at 138th, so there are fewer possessions in which to build a margin. The counterweight is that neither record is running ahead of its rating: UMass are 3-1 against the spread, Eastern Michigan 2-3.</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Virginia Cavaliers @ Florida State Seminoles</w:t>
      </w:r>
    </w:p>
    <w:p>
      <w:pPr>
        <w:pStyle w:val="Heading3"/>
        <w:spacing w:after="200"/>
      </w:pPr>
      <w:r>
        <w:t xml:space="preserve">Virginia -2.5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Virginia -2.5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Virginia -6.8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4.3 pts, 4.7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Virginia -8.5, which is 6.0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Virginia +14.4 (21st) vs Florida State +5.7 (53rd), home edge +1.9</w:t>
            </w:r>
          </w:p>
        </w:tc>
      </w:tr>
      <w:tr>
        <w:tc>
          <w:tcPr>
            <w:tcW w:type="dxa" w:w="3830"/>
            <w:shd w:fill="F4F5F7" w:val="clear"/>
            <w:tcMar>
              <w:top w:type="dxa" w:w="60"/>
              <w:left w:type="dxa" w:w="120"/>
              <w:bottom w:type="dxa" w:w="60"/>
              <w:right w:type="dxa" w:w="120"/>
            </w:tcMar>
          </w:tcPr>
          <w:p>
            <w:r>
              <w:rPr>
                <w:b w:val="false"/>
                <w:bCs w:val="false"/>
                <w:sz w:val="19"/>
                <w:szCs w:val="19"/>
              </w:rPr>
              <w:t xml:space="preserve">Virginia 2026</w:t>
            </w:r>
          </w:p>
        </w:tc>
        <w:tc>
          <w:tcPr>
            <w:tcW w:type="dxa" w:w="6250"/>
            <w:shd w:fill="F4F5F7" w:val="clear"/>
            <w:tcMar>
              <w:top w:type="dxa" w:w="60"/>
              <w:left w:type="dxa" w:w="120"/>
              <w:bottom w:type="dxa" w:w="60"/>
              <w:right w:type="dxa" w:w="120"/>
            </w:tcMar>
          </w:tcPr>
          <w:p>
            <w:r>
              <w:rPr>
                <w:b/>
                <w:bCs/>
                <w:sz w:val="19"/>
                <w:szCs w:val="19"/>
              </w:rPr>
              <w:t xml:space="preserve">3-1, 3-1 ATS, 40.5 points a game and 13.0 allowed</w:t>
            </w:r>
          </w:p>
        </w:tc>
      </w:tr>
      <w:tr>
        <w:tc>
          <w:tcPr>
            <w:tcW w:type="dxa" w:w="3830"/>
            <w:shd w:fill="FFFFFF" w:val="clear"/>
            <w:tcMar>
              <w:top w:type="dxa" w:w="60"/>
              <w:left w:type="dxa" w:w="120"/>
              <w:bottom w:type="dxa" w:w="60"/>
              <w:right w:type="dxa" w:w="120"/>
            </w:tcMar>
          </w:tcPr>
          <w:p>
            <w:r>
              <w:rPr>
                <w:b w:val="false"/>
                <w:bCs w:val="false"/>
                <w:sz w:val="19"/>
                <w:szCs w:val="19"/>
              </w:rPr>
              <w:t xml:space="preserve">Florida State 2026</w:t>
            </w:r>
          </w:p>
        </w:tc>
        <w:tc>
          <w:tcPr>
            <w:tcW w:type="dxa" w:w="6250"/>
            <w:shd w:fill="FFFFFF" w:val="clear"/>
            <w:tcMar>
              <w:top w:type="dxa" w:w="60"/>
              <w:left w:type="dxa" w:w="120"/>
              <w:bottom w:type="dxa" w:w="60"/>
              <w:right w:type="dxa" w:w="120"/>
            </w:tcMar>
          </w:tcPr>
          <w:p>
            <w:r>
              <w:rPr>
                <w:b/>
                <w:bCs/>
                <w:sz w:val="19"/>
                <w:szCs w:val="19"/>
              </w:rPr>
              <w:t xml:space="preserve">2-2, 1-2-1 ATS, 32.0 for and 25.3 against</w:t>
            </w:r>
          </w:p>
        </w:tc>
      </w:tr>
      <w:tr>
        <w:tc>
          <w:tcPr>
            <w:tcW w:type="dxa" w:w="3830"/>
            <w:shd w:fill="F4F5F7" w:val="clear"/>
            <w:tcMar>
              <w:top w:type="dxa" w:w="60"/>
              <w:left w:type="dxa" w:w="120"/>
              <w:bottom w:type="dxa" w:w="60"/>
              <w:right w:type="dxa" w:w="120"/>
            </w:tcMar>
          </w:tcPr>
          <w:p>
            <w:r>
              <w:rPr>
                <w:b w:val="false"/>
                <w:bCs w:val="false"/>
                <w:sz w:val="19"/>
                <w:szCs w:val="19"/>
              </w:rPr>
              <w:t xml:space="preserve">Florida State defense</w:t>
            </w:r>
          </w:p>
        </w:tc>
        <w:tc>
          <w:tcPr>
            <w:tcW w:type="dxa" w:w="6250"/>
            <w:shd w:fill="F4F5F7" w:val="clear"/>
            <w:tcMar>
              <w:top w:type="dxa" w:w="60"/>
              <w:left w:type="dxa" w:w="120"/>
              <w:bottom w:type="dxa" w:w="60"/>
              <w:right w:type="dxa" w:w="120"/>
            </w:tcMar>
          </w:tcPr>
          <w:p>
            <w:r>
              <w:rPr>
                <w:b/>
                <w:bCs/>
                <w:sz w:val="19"/>
                <w:szCs w:val="19"/>
              </w:rPr>
              <w:t xml:space="preserve">102nd Success Rate, 111th Explosiveness, 65.2 coverage</w:t>
            </w:r>
          </w:p>
        </w:tc>
      </w:tr>
    </w:tbl>
    <w:p>
      <w:pPr>
        <w:spacing w:after="180"/>
      </w:pPr>
    </w:p>
    <w:p>
      <w:pPr>
        <w:spacing w:after="160" w:line="276"/>
      </w:pPr>
      <w:r>
        <w:t xml:space="preserve">Book has Virginia -2.5 on the road. The rating says -6.8 and the points check says -8.5. The thing worth pausing on is the ratings themselves: Virginia sit 21st at +14.4 and Florida State 53rd at +5.7, which is a two-tier gap being priced as a coin flip with home field.</w:t>
      </w:r>
    </w:p>
    <w:p>
      <w:pPr>
        <w:spacing w:after="160" w:line="276"/>
      </w:pPr>
      <w:r>
        <w:t xml:space="preserve">Virginia have the better unit on both sides. They score 40.5 and allow 13.0, with an offense grading 87.7 overall and 90.0 passing behind an 86.4 pass block grade, and a defense ranked 19th in Success Rate and 4th in Explosiveness allowed on an 88.0 coverage grade.</w:t>
      </w:r>
    </w:p>
    <w:p>
      <w:pPr>
        <w:spacing w:after="160" w:line="276"/>
      </w:pPr>
      <w:r>
        <w:t xml:space="preserve">Florida State's defense is where the number should come from. They rank 102nd in Success Rate, 111th in Explosiveness allowed and 80th in Finishing Drives, on a 65.2 coverage grade and a 66.3 run defense grade, against the better passing offense in the game.</w:t>
      </w:r>
    </w:p>
    <w:p>
      <w:pPr>
        <w:spacing w:after="160" w:line="276"/>
      </w:pPr>
      <w:r>
        <w:t xml:space="preserve">The honest risk is Florida State's offense, which ranks 2nd nationally in Explosiveness and 18th in Finishing Drives. They do not move the ball efficiently, 80th in Success Rate, but they score in chunks, and Virginia's 60.4 tackling grade is the one soft number on that defense. A 2.5-point road lay also offers no margin: this needs an outright win.</w:t>
      </w:r>
    </w:p>
    <w:p>
      <w:pPr>
        <w:spacing w:after="140" w:before="140"/>
      </w:pPr>
      <w:r>
        <w:drawing>
          <wp:inline distT="0" distB="0" distL="0" distR="0">
            <wp:extent cx="6400800" cy="5153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Syracuse Orange @ UConn Huskies</w:t>
      </w:r>
    </w:p>
    <w:p>
      <w:pPr>
        <w:pStyle w:val="Heading3"/>
        <w:spacing w:after="200"/>
      </w:pPr>
      <w:r>
        <w:t xml:space="preserve">UConn +7.0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Syracuse -7.0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UConn +0.2, effectively a pick'em</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6.8 pts, 6.4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UConn -0.9, which is 7.9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UConn -3.7 (tied 86th) vs Syracuse -1.2 (75th), home edge +2.3</w:t>
            </w:r>
          </w:p>
        </w:tc>
      </w:tr>
      <w:tr>
        <w:tc>
          <w:tcPr>
            <w:tcW w:type="dxa" w:w="3830"/>
            <w:shd w:fill="F4F5F7" w:val="clear"/>
            <w:tcMar>
              <w:top w:type="dxa" w:w="60"/>
              <w:left w:type="dxa" w:w="120"/>
              <w:bottom w:type="dxa" w:w="60"/>
              <w:right w:type="dxa" w:w="120"/>
            </w:tcMar>
          </w:tcPr>
          <w:p>
            <w:r>
              <w:rPr>
                <w:b w:val="false"/>
                <w:bCs w:val="false"/>
                <w:sz w:val="19"/>
                <w:szCs w:val="19"/>
              </w:rPr>
              <w:t xml:space="preserve">UConn 2026</w:t>
            </w:r>
          </w:p>
        </w:tc>
        <w:tc>
          <w:tcPr>
            <w:tcW w:type="dxa" w:w="6250"/>
            <w:shd w:fill="F4F5F7" w:val="clear"/>
            <w:tcMar>
              <w:top w:type="dxa" w:w="60"/>
              <w:left w:type="dxa" w:w="120"/>
              <w:bottom w:type="dxa" w:w="60"/>
              <w:right w:type="dxa" w:w="120"/>
            </w:tcMar>
          </w:tcPr>
          <w:p>
            <w:r>
              <w:rPr>
                <w:b/>
                <w:bCs/>
                <w:sz w:val="19"/>
                <w:szCs w:val="19"/>
              </w:rPr>
              <w:t xml:space="preserve">2-2, 2-1-1 ATS, 34.8 points a game and 22.3 allowed</w:t>
            </w:r>
          </w:p>
        </w:tc>
      </w:tr>
      <w:tr>
        <w:tc>
          <w:tcPr>
            <w:tcW w:type="dxa" w:w="3830"/>
            <w:shd w:fill="FFFFFF" w:val="clear"/>
            <w:tcMar>
              <w:top w:type="dxa" w:w="60"/>
              <w:left w:type="dxa" w:w="120"/>
              <w:bottom w:type="dxa" w:w="60"/>
              <w:right w:type="dxa" w:w="120"/>
            </w:tcMar>
          </w:tcPr>
          <w:p>
            <w:r>
              <w:rPr>
                <w:b w:val="false"/>
                <w:bCs w:val="false"/>
                <w:sz w:val="19"/>
                <w:szCs w:val="19"/>
              </w:rPr>
              <w:t xml:space="preserve">UConn offense</w:t>
            </w:r>
          </w:p>
        </w:tc>
        <w:tc>
          <w:tcPr>
            <w:tcW w:type="dxa" w:w="6250"/>
            <w:shd w:fill="FFFFFF" w:val="clear"/>
            <w:tcMar>
              <w:top w:type="dxa" w:w="60"/>
              <w:left w:type="dxa" w:w="120"/>
              <w:bottom w:type="dxa" w:w="60"/>
              <w:right w:type="dxa" w:w="120"/>
            </w:tcMar>
          </w:tcPr>
          <w:p>
            <w:r>
              <w:rPr>
                <w:b/>
                <w:bCs/>
                <w:sz w:val="19"/>
                <w:szCs w:val="19"/>
              </w:rPr>
              <w:t xml:space="preserve">82.7 offensive grade, 85.9 passing, 89.4 run, 13th in Explosiveness</w:t>
            </w:r>
          </w:p>
        </w:tc>
      </w:tr>
      <w:tr>
        <w:tc>
          <w:tcPr>
            <w:tcW w:type="dxa" w:w="3830"/>
            <w:shd w:fill="F4F5F7" w:val="clear"/>
            <w:tcMar>
              <w:top w:type="dxa" w:w="60"/>
              <w:left w:type="dxa" w:w="120"/>
              <w:bottom w:type="dxa" w:w="60"/>
              <w:right w:type="dxa" w:w="120"/>
            </w:tcMar>
          </w:tcPr>
          <w:p>
            <w:r>
              <w:rPr>
                <w:b w:val="false"/>
                <w:bCs w:val="false"/>
                <w:sz w:val="19"/>
                <w:szCs w:val="19"/>
              </w:rPr>
              <w:t xml:space="preserve">Syracuse 2026</w:t>
            </w:r>
          </w:p>
        </w:tc>
        <w:tc>
          <w:tcPr>
            <w:tcW w:type="dxa" w:w="6250"/>
            <w:shd w:fill="F4F5F7" w:val="clear"/>
            <w:tcMar>
              <w:top w:type="dxa" w:w="60"/>
              <w:left w:type="dxa" w:w="120"/>
              <w:bottom w:type="dxa" w:w="60"/>
              <w:right w:type="dxa" w:w="120"/>
            </w:tcMar>
          </w:tcPr>
          <w:p>
            <w:r>
              <w:rPr>
                <w:b/>
                <w:bCs/>
                <w:sz w:val="19"/>
                <w:szCs w:val="19"/>
              </w:rPr>
              <w:t xml:space="preserve">1-2, 1-2 ATS, 32.3 for and 17.0 against across three games</w:t>
            </w:r>
          </w:p>
        </w:tc>
      </w:tr>
    </w:tbl>
    <w:p>
      <w:pPr>
        <w:spacing w:after="180"/>
      </w:pPr>
    </w:p>
    <w:p>
      <w:pPr>
        <w:spacing w:after="160" w:line="276"/>
      </w:pPr>
      <w:r>
        <w:t xml:space="preserve">Book has Syracuse -7.0. Both independent reads call this a pick'em: the rating has UConn by 0.2 and the points check has them by 0.9. Nothing here supports a touchdown.</w:t>
      </w:r>
    </w:p>
    <w:p>
      <w:pPr>
        <w:spacing w:after="160" w:line="276"/>
      </w:pPr>
      <w:r>
        <w:t xml:space="preserve">UConn's offense is the case. It grades 82.7 overall, 85.9 passing and 89.4 running, and ranks 13th nationally in Explosiveness and 30th in Finishing Drives. They score 34.8 a game. Against a Syracuse defense that is solid rather than stifling at 41st in Success Rate and a 73.6 coverage grade, that unit does not need seven points of help.</w:t>
      </w:r>
    </w:p>
    <w:p>
      <w:pPr>
        <w:spacing w:after="160" w:line="276"/>
      </w:pPr>
      <w:r>
        <w:t xml:space="preserve">Syracuse's problem is their own offense, 109th in Success Rate and 92nd in Finishing Drives on a 61.7 passing grade and a 58.6 pass block grade. The 17.0 points allowed figure is the headline, and it is the one that makes the market's number look reasonable.</w:t>
      </w:r>
    </w:p>
    <w:p>
      <w:pPr>
        <w:spacing w:after="160" w:line="276"/>
      </w:pPr>
      <w:r>
        <w:t xml:space="preserve">Two cautions. Syracuse have played three games to UConn's four, so there is a game less of evidence on one side than the other. And UConn's defense is the weak unit on the field, 57.9 in coverage and 57.2 tackling, so this is a bet on outscoring rather than on stopping anyone. Taking the points rather than laying them is the whole point of the position.</w:t>
      </w:r>
    </w:p>
    <w:p>
      <w:pPr>
        <w:spacing w:after="140" w:before="140"/>
      </w:pPr>
      <w:r>
        <w:drawing>
          <wp:inline distT="0" distB="0" distL="0" distR="0">
            <wp:extent cx="6400800" cy="5048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Ohio Bobcats @ Kent State Golden Flashes</w:t>
      </w:r>
    </w:p>
    <w:p>
      <w:pPr>
        <w:pStyle w:val="Heading3"/>
        <w:spacing w:after="200"/>
      </w:pPr>
      <w:r>
        <w:t xml:space="preserve">Ohio -3.5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Kent State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Ohio -10.1</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6.6 pts, 7.0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Ohio -7.7, which is 4.2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Ohio -10.5 (109th) vs Kent State -22.4 (130th), home edge +1.8</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Ohio 30.3 for / 31.0 against, Kent State 16.3 / 36.0</w:t>
            </w:r>
          </w:p>
        </w:tc>
      </w:tr>
      <w:tr>
        <w:tc>
          <w:tcPr>
            <w:tcW w:type="dxa" w:w="3830"/>
            <w:shd w:fill="FFFFFF" w:val="clear"/>
            <w:tcMar>
              <w:top w:type="dxa" w:w="60"/>
              <w:left w:type="dxa" w:w="120"/>
              <w:bottom w:type="dxa" w:w="60"/>
              <w:right w:type="dxa" w:w="120"/>
            </w:tcMar>
          </w:tcPr>
          <w:p>
            <w:r>
              <w:rPr>
                <w:b w:val="false"/>
                <w:bCs w:val="false"/>
                <w:sz w:val="19"/>
                <w:szCs w:val="19"/>
              </w:rPr>
              <w:t xml:space="preserve">Kent State offense</w:t>
            </w:r>
          </w:p>
        </w:tc>
        <w:tc>
          <w:tcPr>
            <w:tcW w:type="dxa" w:w="6250"/>
            <w:shd w:fill="FFFFFF" w:val="clear"/>
            <w:tcMar>
              <w:top w:type="dxa" w:w="60"/>
              <w:left w:type="dxa" w:w="120"/>
              <w:bottom w:type="dxa" w:w="60"/>
              <w:right w:type="dxa" w:w="120"/>
            </w:tcMar>
          </w:tcPr>
          <w:p>
            <w:r>
              <w:rPr>
                <w:b/>
                <w:bCs/>
                <w:sz w:val="19"/>
                <w:szCs w:val="19"/>
              </w:rPr>
              <w:t xml:space="preserve">137th Success Rate, 125th Finishing Drives, 42.8 run block</w:t>
            </w:r>
          </w:p>
        </w:tc>
      </w:tr>
      <w:tr>
        <w:tc>
          <w:tcPr>
            <w:tcW w:type="dxa" w:w="3830"/>
            <w:shd w:fill="F4F5F7" w:val="clear"/>
            <w:tcMar>
              <w:top w:type="dxa" w:w="60"/>
              <w:left w:type="dxa" w:w="120"/>
              <w:bottom w:type="dxa" w:w="60"/>
              <w:right w:type="dxa" w:w="120"/>
            </w:tcMar>
          </w:tcPr>
          <w:p>
            <w:r>
              <w:rPr>
                <w:b w:val="false"/>
                <w:bCs w:val="false"/>
                <w:sz w:val="19"/>
                <w:szCs w:val="19"/>
              </w:rPr>
              <w:t xml:space="preserve">Records</w:t>
            </w:r>
          </w:p>
        </w:tc>
        <w:tc>
          <w:tcPr>
            <w:tcW w:type="dxa" w:w="6250"/>
            <w:shd w:fill="F4F5F7" w:val="clear"/>
            <w:tcMar>
              <w:top w:type="dxa" w:w="60"/>
              <w:left w:type="dxa" w:w="120"/>
              <w:bottom w:type="dxa" w:w="60"/>
              <w:right w:type="dxa" w:w="120"/>
            </w:tcMar>
          </w:tcPr>
          <w:p>
            <w:r>
              <w:rPr>
                <w:b/>
                <w:bCs/>
                <w:sz w:val="19"/>
                <w:szCs w:val="19"/>
              </w:rPr>
              <w:t xml:space="preserve">both 2-2, both 2-2 ATS</w:t>
            </w:r>
          </w:p>
        </w:tc>
      </w:tr>
    </w:tbl>
    <w:p>
      <w:pPr>
        <w:spacing w:after="180"/>
      </w:pPr>
    </w:p>
    <w:p>
      <w:pPr>
        <w:spacing w:after="160" w:line="276"/>
      </w:pPr>
      <w:r>
        <w:t xml:space="preserve">Book has Ohio -3.5 on the road. The rating says -10.1 and the points check says -7.7. Both want roughly a touchdown more than the market.</w:t>
      </w:r>
    </w:p>
    <w:p>
      <w:pPr>
        <w:spacing w:after="160" w:line="276"/>
      </w:pPr>
      <w:r>
        <w:t xml:space="preserve">Kent State have scored 16.3 a game and allowed 36.0. The offense ranks 137th in Success Rate, 125th in Finishing Drives and tied 126th in Field Position behind a 42.8 run block grade and a 44.7 pass block grade. The defense ranks 133rd in Success Rate and 137th in Finishing Drives on a 50.4 run defense grade.</w:t>
      </w:r>
    </w:p>
    <w:p>
      <w:pPr>
        <w:spacing w:after="160" w:line="276"/>
      </w:pPr>
      <w:r>
        <w:t xml:space="preserve">Ohio are mediocre rather than good, 2-2 at 30.3 points a game with a 69th-ranked Success Rate offense, and their own defense ranks 138th of 138 in Finishing Drives allowed. The case here is entirely relative, and it only needs to be.</w:t>
      </w:r>
    </w:p>
    <w:p>
      <w:pPr>
        <w:spacing w:after="160" w:line="276"/>
      </w:pPr>
      <w:r>
        <w:t xml:space="preserve">Both teams are 2-2 against the spread, so neither record is running ahead of its rating, and this is a road favourite of under a touchdown rather than a large lay. Kent State at home is the risk, and 3.5 is a short number to have to cover: a win by exactly three is the likeliest way it fails.</w:t>
      </w:r>
    </w:p>
    <w:p>
      <w:pPr>
        <w:spacing w:after="140" w:before="140"/>
      </w:pPr>
      <w:r>
        <w:drawing>
          <wp:inline distT="0" distB="0" distL="0" distR="0">
            <wp:extent cx="6400800" cy="5153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20"/>
      </w:pPr>
      <w:r>
        <w:t xml:space="preserve">Western Michigan Broncos @ Buffalo Bulls</w:t>
      </w:r>
    </w:p>
    <w:p>
      <w:pPr>
        <w:pStyle w:val="Heading3"/>
        <w:spacing w:after="200"/>
      </w:pPr>
      <w:r>
        <w:t xml:space="preserve">Buffalo +14.0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Western Michigan -14.0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Buffalo +7.3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6.7 pts, 6.3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Buffalo +5.3, which is 8.7 past the market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Western Michigan -7.2 (97th) vs Buffalo -17.2 (124th), home edge +2.7</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Western Michigan 24.0 for / 20.0 against, Buffalo 21.3 / 33.3</w:t>
            </w:r>
          </w:p>
        </w:tc>
      </w:tr>
      <w:tr>
        <w:tc>
          <w:tcPr>
            <w:tcW w:type="dxa" w:w="3830"/>
            <w:shd w:fill="FFFFFF" w:val="clear"/>
            <w:tcMar>
              <w:top w:type="dxa" w:w="60"/>
              <w:left w:type="dxa" w:w="120"/>
              <w:bottom w:type="dxa" w:w="60"/>
              <w:right w:type="dxa" w:w="120"/>
            </w:tcMar>
          </w:tcPr>
          <w:p>
            <w:r>
              <w:rPr>
                <w:b w:val="false"/>
                <w:bCs w:val="false"/>
                <w:sz w:val="19"/>
                <w:szCs w:val="19"/>
              </w:rPr>
              <w:t xml:space="preserve">Buffalo defence</w:t>
            </w:r>
          </w:p>
        </w:tc>
        <w:tc>
          <w:tcPr>
            <w:tcW w:type="dxa" w:w="6250"/>
            <w:shd w:fill="FFFFFF" w:val="clear"/>
            <w:tcMar>
              <w:top w:type="dxa" w:w="60"/>
              <w:left w:type="dxa" w:w="120"/>
              <w:bottom w:type="dxa" w:w="60"/>
              <w:right w:type="dxa" w:w="120"/>
            </w:tcMar>
          </w:tcPr>
          <w:p>
            <w:r>
              <w:rPr>
                <w:b/>
                <w:bCs/>
                <w:sz w:val="19"/>
                <w:szCs w:val="19"/>
              </w:rPr>
              <w:t xml:space="preserve">44th Success Rate, 84.9 run defense, 81.9 tackling</w:t>
            </w:r>
          </w:p>
        </w:tc>
      </w:tr>
      <w:tr>
        <w:tc>
          <w:tcPr>
            <w:tcW w:type="dxa" w:w="3830"/>
            <w:shd w:fill="F4F5F7" w:val="clear"/>
            <w:tcMar>
              <w:top w:type="dxa" w:w="60"/>
              <w:left w:type="dxa" w:w="120"/>
              <w:bottom w:type="dxa" w:w="60"/>
              <w:right w:type="dxa" w:w="120"/>
            </w:tcMar>
          </w:tcPr>
          <w:p>
            <w:r>
              <w:rPr>
                <w:b w:val="false"/>
                <w:bCs w:val="false"/>
                <w:sz w:val="19"/>
                <w:szCs w:val="19"/>
              </w:rPr>
              <w:t xml:space="preserve">Western Michigan defence</w:t>
            </w:r>
          </w:p>
        </w:tc>
        <w:tc>
          <w:tcPr>
            <w:tcW w:type="dxa" w:w="6250"/>
            <w:shd w:fill="F4F5F7" w:val="clear"/>
            <w:tcMar>
              <w:top w:type="dxa" w:w="60"/>
              <w:left w:type="dxa" w:w="120"/>
              <w:bottom w:type="dxa" w:w="60"/>
              <w:right w:type="dxa" w:w="120"/>
            </w:tcMar>
          </w:tcPr>
          <w:p>
            <w:r>
              <w:rPr>
                <w:b/>
                <w:bCs/>
                <w:sz w:val="19"/>
                <w:szCs w:val="19"/>
              </w:rPr>
              <w:t xml:space="preserve">125th Success Rate, tied 135th in Havoc</w:t>
            </w:r>
          </w:p>
        </w:tc>
      </w:tr>
    </w:tbl>
    <w:p>
      <w:pPr>
        <w:spacing w:after="180"/>
      </w:pPr>
    </w:p>
    <w:p>
      <w:pPr>
        <w:spacing w:after="160" w:line="276"/>
      </w:pPr>
      <w:r>
        <w:t xml:space="preserve">Book has Western Michigan -14.0 on the road. The rating has the margin at 7.3 and the points check, which knows only what each side has scored and allowed, at 5.3. Both put the fair number at half the market's.</w:t>
      </w:r>
    </w:p>
    <w:p>
      <w:pPr>
        <w:spacing w:after="160" w:line="276"/>
      </w:pPr>
      <w:r>
        <w:t xml:space="preserve">The fourteen is pricing Buffalo's results rather than their units. They have allowed 33.3 a game, which is the ugly number, but the defence grades 84.9 against the run with 81.9 tackling and ranks 44th in Success Rate. What has killed them is explosive plays: 131st in Explosiveness allowed. That is a profile that gets blown out occasionally and stays close often.</w:t>
      </w:r>
    </w:p>
    <w:p>
      <w:pPr>
        <w:spacing w:after="160" w:line="276"/>
      </w:pPr>
      <w:r>
        <w:t xml:space="preserve">Western Michigan are not the team to exploit it. Their offence ranks tied 107th in Success Rate, 99th in Explosiveness and 54.0 in pass block, and they score 24.0 a game. Their defence ranks 125th in Success Rate and tied 135th in Havoc, which is the lever Buffalo's 70.7 passing grade has.</w:t>
      </w:r>
    </w:p>
    <w:p>
      <w:pPr>
        <w:spacing w:after="160" w:line="276"/>
      </w:pPr>
      <w:r>
        <w:t xml:space="preserve">The reason this is fifth rather than first: Buffalo are 0-4 against the spread. A team that has failed to cover four straight is either unlucky or genuinely worse than its rating, and there is no way to tell which from four games. Taking 14 points rather than laying them is how the position survives being wrong about that.</w:t>
      </w:r>
    </w:p>
    <w:p>
      <w:pPr>
        <w:spacing w:after="140" w:before="140"/>
      </w:pPr>
      <w:r>
        <w:drawing>
          <wp:inline distT="0" distB="0" distL="0" distR="0">
            <wp:extent cx="6400800" cy="5153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28"/>
      <w:szCs w:val="28"/>
    </w:rPr>
  </w:style>
  <w:style w:type="paragraph" w:styleId="Heading3">
    <w:name w:val="Heading 3"/>
    <w:basedOn w:val="Normal"/>
    <w:next w:val="Normal"/>
    <w:qFormat/>
    <w:rPr>
      <w:rFonts w:ascii="Calibri" w:cs="Calibri" w:eastAsia="Calibri" w:hAnsi="Calibri"/>
      <w:b/>
      <w:bCs/>
      <w:color w:val="1B4D8F"/>
      <w:sz w:val="32"/>
      <w:szCs w:val="3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f7780e117764deb0f2fbc587eaac48348fa5887.png"/><Relationship Id="rId8" Type="http://schemas.openxmlformats.org/officeDocument/2006/relationships/image" Target="media/6f22cb5592637f5d6ff2d65397a76513c791f21d.png"/><Relationship Id="rId9" Type="http://schemas.openxmlformats.org/officeDocument/2006/relationships/image" Target="media/e497277cf7a9b7dd7aeea26396763a2aba239eb4.png"/><Relationship Id="rId10" Type="http://schemas.openxmlformats.org/officeDocument/2006/relationships/image" Target="media/f5b966c3b921f22ee0acbd391c15a1ca5e9d5e46.png"/><Relationship Id="rId11" Type="http://schemas.openxmlformats.org/officeDocument/2006/relationships/image" Target="media/204a39c748338b23cfe1e3ddd35d1555b74c0ac2.png"/><Relationship Id="rId12" Type="http://schemas.openxmlformats.org/officeDocument/2006/relationships/image" Target="media/91e648ccba159613bfd69b7bccb2e6e1433dbeef.png"/><Relationship Id="rId13" Type="http://schemas.openxmlformats.org/officeDocument/2006/relationships/image" Target="media/1800ecb4cc0b2dff2b9ecd2138b14e2f824e624a.png"/><Relationship Id="rId14" Type="http://schemas.openxmlformats.org/officeDocument/2006/relationships/image" Target="media/7982faf9380dc139c4992c08f9c436cc86927b3f.png"/><Relationship Id="rId15" Type="http://schemas.openxmlformats.org/officeDocument/2006/relationships/image" Target="media/8f6a971bf02bf3615d6120480ae0de58ff151e21.png"/><Relationship Id="rId16" Type="http://schemas.openxmlformats.org/officeDocument/2006/relationships/image" Target="media/9355ba3a5079300f70e54559b80c9506564cf75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Spreads to Target</dc:title>
  <dc:creator>P3S</dc:creator>
  <cp:lastModifiedBy>P3S</cp:lastModifiedBy>
  <cp:revision>1</cp:revision>
  <dcterms:created xsi:type="dcterms:W3CDTF">2026-10-03T04:31:02.985Z</dcterms:created>
  <dcterms:modified xsi:type="dcterms:W3CDTF">2026-10-03T04:31:02.986Z</dcterms:modified>
</cp:coreProperties>
</file>

<file path=docProps/custom.xml><?xml version="1.0" encoding="utf-8"?>
<Properties xmlns="http://schemas.openxmlformats.org/officeDocument/2006/custom-properties" xmlns:vt="http://schemas.openxmlformats.org/officeDocument/2006/docPropsVTypes"/>
</file>