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Spreads to Target</w:t>
      </w:r>
    </w:p>
    <w:p>
      <w:pPr>
        <w:spacing w:after="240"/>
      </w:pPr>
      <w:r>
        <w:rPr>
          <w:i/>
          <w:iCs/>
          <w:color w:val="5A6270"/>
          <w:sz w:val="21"/>
          <w:szCs w:val="21"/>
        </w:rPr>
        <w:t xml:space="preserve">Week 3 · September 18–20, 2026</w:t>
      </w:r>
    </w:p>
    <w:p>
      <w:pPr>
        <w:spacing w:after="160" w:line="276"/>
      </w:pPr>
      <w:r>
        <w:t xml:space="preserve">Every figure here is verified against the underlying data, and each player's role, target or carry share and injury status against this week's reports. The ATS and over/under records in the hub's power table were 2022 figures until this week; they now come from TeamRankings and cover the current season.</w:t>
      </w:r>
    </w:p>
    <w:p>
      <w:pPr>
        <w:spacing w:after="160" w:line="276"/>
      </w:pPr>
      <w:r>
        <w:t xml:space="preserve">Five spreads where the book and the power ratings disagree most. The model number is SP+ differential plus home-field edge; the gap is the distance between it and the market.</w:t>
      </w:r>
    </w:p>
    <w:p>
      <w:pPr>
        <w:spacing w:after="160" w:line="276"/>
      </w:pPr>
      <w:r>
        <w:t xml:space="preserve">These are the five largest disagreements on the slate, unfiltered. An earlier cut screened out large lines on the theory that the model handles close games better. That did not survive testing: across 138 rated games the mean disagreement between book and model is flat by line size (3.40 / 3.67 / 3.90 / 3.06 / 4.28 from pick-em up through 28-point favourites), the correlation is +0.09, and there is no directional bias anywhere on the curve. Line size filters nothing.</w:t>
      </w:r>
    </w:p>
    <w:p>
      <w:pPr>
        <w:spacing w:after="160" w:line="276"/>
      </w:pPr>
      <w:r>
        <w:t xml:space="preserve">Scheme, coordinator and coach figures come from the team file (team_ratings_2025.csv): head-coach straight-up and against-the-spread records, coordinator scheme distributions, returning offensive line snaps and the per-team notes. Grades are 2025 PFF. Records marked “this season” are 2026 to date.</w:t>
      </w:r>
    </w:p>
    <w:p>
      <w:pPr>
        <w:pBdr>
          <w:bottom w:val="single" w:color="C9CDD4" w:sz="6" w:space="1"/>
        </w:pBdr>
        <w:spacing w:after="240" w:before="60"/>
      </w:pPr>
    </w:p>
    <w:p>
      <w:pPr>
        <w:pStyle w:val="Heading2"/>
        <w:spacing w:after="40"/>
      </w:pPr>
      <w:r>
        <w:t xml:space="preserve">UCF -17.5</w:t>
      </w:r>
    </w:p>
    <w:p>
      <w:pPr>
        <w:spacing w:after="200"/>
      </w:pPr>
      <w:r>
        <w:rPr>
          <w:color w:val="5A6270"/>
          <w:sz w:val="21"/>
          <w:szCs w:val="21"/>
        </w:rPr>
        <w:t xml:space="preserve">Georgia State Panthers @ UCF Knights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UCF -17.5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UCF -29.5</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12.0 pts — largest on the slate</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UCF +2.3 vs Georgia State -25.1</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+2.1</w:t>
            </w:r>
          </w:p>
        </w:tc>
      </w:tr>
      <w:tr>
        <w:tc>
          <w:tcPr>
            <w:tcW w:type="dxa" w:w="3830"/>
            <w:shd w:fill="F4F5F7" w:val="clear"/>
            <w:tcMar>
              <w:top w:type="dxa" w:w="60"/>
              <w:left w:type="dxa" w:w="120"/>
              <w:bottom w:type="dxa" w:w="60"/>
              <w:right w:type="dxa" w:w="120"/>
            </w:tcMar>
          </w:tcPr>
          <w:p>
            <w:r>
              <w:rPr>
                <w:b w:val="false"/>
                <w:bCs w:val="false"/>
                <w:sz w:val="19"/>
                <w:szCs w:val="19"/>
              </w:rPr>
              <w:t xml:space="preserve">Georgia State 2025</w:t>
            </w:r>
          </w:p>
        </w:tc>
        <w:tc>
          <w:tcPr>
            <w:tcW w:type="dxa" w:w="6250"/>
            <w:shd w:fill="F4F5F7" w:val="clear"/>
            <w:tcMar>
              <w:top w:type="dxa" w:w="60"/>
              <w:left w:type="dxa" w:w="120"/>
              <w:bottom w:type="dxa" w:w="60"/>
              <w:right w:type="dxa" w:w="120"/>
            </w:tcMar>
          </w:tcPr>
          <w:p>
            <w:r>
              <w:rPr>
                <w:b/>
                <w:bCs/>
                <w:sz w:val="19"/>
                <w:szCs w:val="19"/>
              </w:rPr>
              <w:t xml:space="preserve">454 points allowed</w:t>
            </w:r>
          </w:p>
        </w:tc>
      </w:tr>
      <w:tr>
        <w:tc>
          <w:tcPr>
            <w:tcW w:type="dxa" w:w="3830"/>
            <w:shd w:fill="FFFFFF" w:val="clear"/>
            <w:tcMar>
              <w:top w:type="dxa" w:w="60"/>
              <w:left w:type="dxa" w:w="120"/>
              <w:bottom w:type="dxa" w:w="60"/>
              <w:right w:type="dxa" w:w="120"/>
            </w:tcMar>
          </w:tcPr>
          <w:p>
            <w:r>
              <w:rPr>
                <w:b w:val="false"/>
                <w:bCs w:val="false"/>
                <w:sz w:val="19"/>
                <w:szCs w:val="19"/>
              </w:rPr>
              <w:t xml:space="preserve">Dell McGee record</w:t>
            </w:r>
          </w:p>
        </w:tc>
        <w:tc>
          <w:tcPr>
            <w:tcW w:type="dxa" w:w="6250"/>
            <w:shd w:fill="FFFFFF" w:val="clear"/>
            <w:tcMar>
              <w:top w:type="dxa" w:w="60"/>
              <w:left w:type="dxa" w:w="120"/>
              <w:bottom w:type="dxa" w:w="60"/>
              <w:right w:type="dxa" w:w="120"/>
            </w:tcMar>
          </w:tcPr>
          <w:p>
            <w:r>
              <w:rPr>
                <w:b/>
                <w:bCs/>
                <w:sz w:val="19"/>
                <w:szCs w:val="19"/>
              </w:rPr>
              <w:t xml:space="preserve">4-20 SU (16.7%), 6-16 ATS</w:t>
            </w:r>
          </w:p>
        </w:tc>
      </w:tr>
    </w:tbl>
    <w:p>
      <w:pPr>
        <w:spacing w:after="180"/>
      </w:pPr>
    </w:p>
    <w:p>
      <w:pPr>
        <w:spacing w:after="160" w:line="276"/>
      </w:pPr>
      <w:r>
        <w:t xml:space="preserve">The book has UCF at -17.5. SP+ differential plus home field puts the number at -29.5 — UCF +2.3, Georgia State -25.1, home edge +2.1 — a 12.0-point gap, the largest on the slate.</w:t>
      </w:r>
    </w:p>
    <w:p>
      <w:pPr>
        <w:spacing w:after="160" w:line="276"/>
      </w:pPr>
      <w:r>
        <w:t xml:space="preserve">Georgia State is in Dell McGee's third season at 4-20 straight up (16.7%) and 6-16 against the spread, coming off 1-11 in 2025. The team file records a bottom-ten FBS finish in success rate, EPA and finishing drives, and a significant defensive staff overhaul: Cam Clark and John Haneline take over a multiple front expected to be safety-driven with nickel play the key. Hue Jackson calls a pro-style, run-first offense with Cameran Brown the expected starter. The 2025 defense allowed 454 points.</w:t>
      </w:r>
    </w:p>
    <w:p>
      <w:pPr>
        <w:spacing w:after="160" w:line="276"/>
      </w:pPr>
      <w:r>
        <w:t xml:space="preserve">UCF is Scott Frost's second year, 40-45 (47.1%) straight up and 34-33-3 against the spread for his career. Steve Cooper's offense is inside-zone based with power accents — IZ 23.3%, outside zone 13.9%, power 10.6%. Alex Grinch's defense runs a 2-4-5 base 68.5% of the time behind a man-aggressive shell, Cover-1 at 32.9%. The offensive line returns 5,006 snaps, 17th in FBS, and QB Alonza Barnett III arrives from James Madison as the Sun Belt Player of the Year with 49 career passing touchdowns and 23 rushing.</w:t>
      </w:r>
    </w:p>
    <w:p>
      <w:pPr>
        <w:spacing w:after="160" w:line="276"/>
      </w:pPr>
      <w:r>
        <w:t xml:space="preserve">The Five Factors point the same way. Georgia State's offense ranks 94th nationally in success rate, 102nd in finishing drives and 132nd in field position; the defense ranks 126th in success rate, 123rd in havoc and 128th in finishing drives. UCF's defense grades 90.3, 22nd in FBS, against a Georgia State offense grading 61.3, 129th. TAN power rating separates them 60th to 131st and Net RP 24th to 60th, and UCF plays at the faster tempo of the two, which adds possessions to the side with the rating edge.</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Western Kentucky +44.5</w:t>
      </w:r>
    </w:p>
    <w:p>
      <w:pPr>
        <w:spacing w:after="200"/>
      </w:pPr>
      <w:r>
        <w:rPr>
          <w:color w:val="5A6270"/>
          <w:sz w:val="21"/>
          <w:szCs w:val="21"/>
        </w:rPr>
        <w:t xml:space="preserve">Western Kentucky Hilltoppers @ Indiana Hoosiers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Western Kentucky +44.5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Indiana -32.6</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11.9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Indiana +24.5 vs WKU -5.3</w:t>
            </w:r>
          </w:p>
        </w:tc>
      </w:tr>
      <w:tr>
        <w:tc>
          <w:tcPr>
            <w:tcW w:type="dxa" w:w="3830"/>
            <w:shd w:fill="FFFFFF" w:val="clear"/>
            <w:tcMar>
              <w:top w:type="dxa" w:w="60"/>
              <w:left w:type="dxa" w:w="120"/>
              <w:bottom w:type="dxa" w:w="60"/>
              <w:right w:type="dxa" w:w="120"/>
            </w:tcMar>
          </w:tcPr>
          <w:p>
            <w:r>
              <w:rPr>
                <w:b w:val="false"/>
                <w:bCs w:val="false"/>
                <w:sz w:val="19"/>
                <w:szCs w:val="19"/>
              </w:rPr>
              <w:t xml:space="preserve">WKU ATS, this season</w:t>
            </w:r>
          </w:p>
        </w:tc>
        <w:tc>
          <w:tcPr>
            <w:tcW w:type="dxa" w:w="6250"/>
            <w:shd w:fill="FFFFFF" w:val="clear"/>
            <w:tcMar>
              <w:top w:type="dxa" w:w="60"/>
              <w:left w:type="dxa" w:w="120"/>
              <w:bottom w:type="dxa" w:w="60"/>
              <w:right w:type="dxa" w:w="120"/>
            </w:tcMar>
          </w:tcPr>
          <w:p>
            <w:r>
              <w:rPr>
                <w:b/>
                <w:bCs/>
                <w:sz w:val="19"/>
                <w:szCs w:val="19"/>
              </w:rPr>
              <w:t xml:space="preserve">0-2 (0%, 107th)</w:t>
            </w:r>
          </w:p>
        </w:tc>
      </w:tr>
      <w:tr>
        <w:tc>
          <w:tcPr>
            <w:tcW w:type="dxa" w:w="3830"/>
            <w:shd w:fill="F4F5F7" w:val="clear"/>
            <w:tcMar>
              <w:top w:type="dxa" w:w="60"/>
              <w:left w:type="dxa" w:w="120"/>
              <w:bottom w:type="dxa" w:w="60"/>
              <w:right w:type="dxa" w:w="120"/>
            </w:tcMar>
          </w:tcPr>
          <w:p>
            <w:r>
              <w:rPr>
                <w:b w:val="false"/>
                <w:bCs w:val="false"/>
                <w:sz w:val="19"/>
                <w:szCs w:val="19"/>
              </w:rPr>
              <w:t xml:space="preserve">Indiana 2025</w:t>
            </w:r>
          </w:p>
        </w:tc>
        <w:tc>
          <w:tcPr>
            <w:tcW w:type="dxa" w:w="6250"/>
            <w:shd w:fill="F4F5F7" w:val="clear"/>
            <w:tcMar>
              <w:top w:type="dxa" w:w="60"/>
              <w:left w:type="dxa" w:w="120"/>
              <w:bottom w:type="dxa" w:w="60"/>
              <w:right w:type="dxa" w:w="120"/>
            </w:tcMar>
          </w:tcPr>
          <w:p>
            <w:r>
              <w:rPr>
                <w:b/>
                <w:bCs/>
                <w:sz w:val="19"/>
                <w:szCs w:val="19"/>
              </w:rPr>
              <w:t xml:space="preserve">532 PF / 131 PA</w:t>
            </w:r>
          </w:p>
        </w:tc>
      </w:tr>
      <w:tr>
        <w:tc>
          <w:tcPr>
            <w:tcW w:type="dxa" w:w="3830"/>
            <w:shd w:fill="FFFFFF" w:val="clear"/>
            <w:tcMar>
              <w:top w:type="dxa" w:w="60"/>
              <w:left w:type="dxa" w:w="120"/>
              <w:bottom w:type="dxa" w:w="60"/>
              <w:right w:type="dxa" w:w="120"/>
            </w:tcMar>
          </w:tcPr>
          <w:p>
            <w:r>
              <w:rPr>
                <w:b w:val="false"/>
                <w:bCs w:val="false"/>
                <w:sz w:val="19"/>
                <w:szCs w:val="19"/>
              </w:rPr>
              <w:t xml:space="preserve">Tyson Helton record</w:t>
            </w:r>
          </w:p>
        </w:tc>
        <w:tc>
          <w:tcPr>
            <w:tcW w:type="dxa" w:w="6250"/>
            <w:shd w:fill="FFFFFF" w:val="clear"/>
            <w:tcMar>
              <w:top w:type="dxa" w:w="60"/>
              <w:left w:type="dxa" w:w="120"/>
              <w:bottom w:type="dxa" w:w="60"/>
              <w:right w:type="dxa" w:w="120"/>
            </w:tcMar>
          </w:tcPr>
          <w:p>
            <w:r>
              <w:rPr>
                <w:b/>
                <w:bCs/>
                <w:sz w:val="19"/>
                <w:szCs w:val="19"/>
              </w:rPr>
              <w:t xml:space="preserve">58-35 SU (62.4%), 51-36-1 ATS</w:t>
            </w:r>
          </w:p>
        </w:tc>
      </w:tr>
    </w:tbl>
    <w:p>
      <w:pPr>
        <w:spacing w:after="180"/>
      </w:pPr>
    </w:p>
    <w:p>
      <w:pPr>
        <w:spacing w:after="160" w:line="276"/>
      </w:pPr>
      <w:r>
        <w:t xml:space="preserve">Indiana is laying 44.5. SP+ plus home field puts the number at 32.6 — Indiana +24.5, Western Kentucky -5.3 — an 11.9-point gap.</w:t>
      </w:r>
    </w:p>
    <w:p>
      <w:pPr>
        <w:spacing w:after="160" w:line="276"/>
      </w:pPr>
      <w:r>
        <w:t xml:space="preserve">Indiana is Curt Cignetti's third year at 46-6 (88.5%) straight up and 33-18 against the spread, with full staff continuity behind him: OC Mike Shanahan in year three running the Big Ten's most middle-committed ground game (31.0% of direction, inside zone 28.7%, man 17.3%), DC Bryant Haines in year three keeping the title-winning 4-2-5 base over a Cover-3 spine at 36.8%. QB Josh Hoover arrives from TCU with a 70:33 career touchdown-to-interception ratio; his turnover-worthy-play rate rises from 4.4% to 12.4% under pressure. Indiana plays every September game at home.</w:t>
      </w:r>
    </w:p>
    <w:p>
      <w:pPr>
        <w:spacing w:after="160" w:line="276"/>
      </w:pPr>
      <w:r>
        <w:t xml:space="preserve">Western Kentucky is Tyson Helton at 58-35 (62.4%) straight up and 51-36-1 against the spread. OC Bodie Reeder arrives from Middle Tennessee and the file expects the pass-heavy, up-tempo spread to continue; DC Davis Merritt was promoted internally with no scheme change, a 3-3-5 base at 55.6% with a real 2-3-6 dime package at 13.2%. The offense grades 74.6 and the defense 79.3. Returning offensive line snaps: 2,423, 116th in FBS. Nine of the top eleven tacklers are gone.</w:t>
      </w:r>
    </w:p>
    <w:p>
      <w:pPr>
        <w:spacing w:after="160" w:line="276"/>
      </w:pPr>
      <w:r>
        <w:t xml:space="preserve">Support for the points: Indiana's scoring profile is efficiency rather than explosiveness — 2nd nationally in offensive success rate and 3rd in finishing drives, but 99th in explosiveness, with the defense 1st in havoc and 1st in finishing drives against 110th in explosiveness allowed. That is a team built to take drives away, not to score in chunks, and a 44.5-point number prices chunks. Western Kentucky's defense ranks 19th nationally in success rate and 11th in finishing drives, better than its 79.3 grade suggests. Indiana's tempo is 11th fastest in the country, which shortens each possession and hands a trailing team more of them.</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Texas Tech -7.5</w:t>
      </w:r>
    </w:p>
    <w:p>
      <w:pPr>
        <w:spacing w:after="200"/>
      </w:pPr>
      <w:r>
        <w:rPr>
          <w:color w:val="5A6270"/>
          <w:sz w:val="21"/>
          <w:szCs w:val="21"/>
        </w:rPr>
        <w:t xml:space="preserve">Houston Cougars @ Texas Tech Red Raiders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Texas Tech -7.5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Texas Tech -18.2</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10.7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Texas Tech +23.1 vs Houston +8.2</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+3.3</w:t>
            </w:r>
          </w:p>
        </w:tc>
      </w:tr>
      <w:tr>
        <w:tc>
          <w:tcPr>
            <w:tcW w:type="dxa" w:w="3830"/>
            <w:shd w:fill="F4F5F7" w:val="clear"/>
            <w:tcMar>
              <w:top w:type="dxa" w:w="60"/>
              <w:left w:type="dxa" w:w="120"/>
              <w:bottom w:type="dxa" w:w="60"/>
              <w:right w:type="dxa" w:w="120"/>
            </w:tcMar>
          </w:tcPr>
          <w:p>
            <w:r>
              <w:rPr>
                <w:b w:val="false"/>
                <w:bCs w:val="false"/>
                <w:sz w:val="19"/>
                <w:szCs w:val="19"/>
              </w:rPr>
              <w:t xml:space="preserve">Texas Tech ATS, this season</w:t>
            </w:r>
          </w:p>
        </w:tc>
        <w:tc>
          <w:tcPr>
            <w:tcW w:type="dxa" w:w="6250"/>
            <w:shd w:fill="F4F5F7" w:val="clear"/>
            <w:tcMar>
              <w:top w:type="dxa" w:w="60"/>
              <w:left w:type="dxa" w:w="120"/>
              <w:bottom w:type="dxa" w:w="60"/>
              <w:right w:type="dxa" w:w="120"/>
            </w:tcMar>
          </w:tcPr>
          <w:p>
            <w:r>
              <w:rPr>
                <w:b/>
                <w:bCs/>
                <w:sz w:val="19"/>
                <w:szCs w:val="19"/>
              </w:rPr>
              <w:t xml:space="preserve">0-2 (0%, 107th)</w:t>
            </w:r>
          </w:p>
        </w:tc>
      </w:tr>
      <w:tr>
        <w:tc>
          <w:tcPr>
            <w:tcW w:type="dxa" w:w="3830"/>
            <w:shd w:fill="FFFFFF" w:val="clear"/>
            <w:tcMar>
              <w:top w:type="dxa" w:w="60"/>
              <w:left w:type="dxa" w:w="120"/>
              <w:bottom w:type="dxa" w:w="60"/>
              <w:right w:type="dxa" w:w="120"/>
            </w:tcMar>
          </w:tcPr>
          <w:p>
            <w:r>
              <w:rPr>
                <w:b w:val="false"/>
                <w:bCs w:val="false"/>
                <w:sz w:val="19"/>
                <w:szCs w:val="19"/>
              </w:rPr>
              <w:t xml:space="preserve">Joey McGuire record</w:t>
            </w:r>
          </w:p>
        </w:tc>
        <w:tc>
          <w:tcPr>
            <w:tcW w:type="dxa" w:w="6250"/>
            <w:shd w:fill="FFFFFF" w:val="clear"/>
            <w:tcMar>
              <w:top w:type="dxa" w:w="60"/>
              <w:left w:type="dxa" w:w="120"/>
              <w:bottom w:type="dxa" w:w="60"/>
              <w:right w:type="dxa" w:w="120"/>
            </w:tcMar>
          </w:tcPr>
          <w:p>
            <w:r>
              <w:rPr>
                <w:b/>
                <w:bCs/>
                <w:sz w:val="19"/>
                <w:szCs w:val="19"/>
              </w:rPr>
              <w:t xml:space="preserve">35-18 SU (66.0%), 30-18-1 ATS</w:t>
            </w:r>
          </w:p>
        </w:tc>
      </w:tr>
    </w:tbl>
    <w:p>
      <w:pPr>
        <w:spacing w:after="180"/>
      </w:pPr>
    </w:p>
    <w:p>
      <w:pPr>
        <w:spacing w:after="160" w:line="276"/>
      </w:pPr>
      <w:r>
        <w:t xml:space="preserve">Texas Tech is laying 7.5. SP+ plus home field puts the number at 18.2 — Texas Tech +23.1, Houston +8.2, home edge +3.3 — a 10.7-point gap.</w:t>
      </w:r>
    </w:p>
    <w:p>
      <w:pPr>
        <w:spacing w:after="160" w:line="276"/>
      </w:pPr>
      <w:r>
        <w:t xml:space="preserve">Texas Tech is Joey McGuire at 35-18 (66.0%) straight up and 30-18-1 against the spread, with scheme continuity: OC Mack Leftwich is inside-zone heavy at 27.5% with counter at 12.1%, and DC Shiel Wood runs a hybrid 2-4-5 (57.6%) and 3-3-5 (33.2%) behind Cover-3 at 24.2%. The file expects the best front seven in the Big 12, naming DE Adam Trick, DE Trey White and DI Anthony Holmes as NFL prospects. The offensive line returns 5,229 snaps, 12th in FBS. Brendan Sorsby departed the program, leaving Will Hammond — listed as questionable off an ACL injury — as the quarterback.</w:t>
      </w:r>
    </w:p>
    <w:p>
      <w:pPr>
        <w:spacing w:after="160" w:line="276"/>
      </w:pPr>
      <w:r>
        <w:t xml:space="preserve">Houston is Willie Fritz at 85-65 (56.7%) straight up and 99-67-2 against the spread. OC Slade Nagle's offense is inside-zone based and unusually direction-balanced (23.9% middle, 14.6% left, 13.5% right); DC Austin Armstrong runs a 3-3-5 base at 70.2% with a quarters lead at 30.8%. QB Conner Weigman returns for a fifth season off 25 touchdowns to 9 interceptions plus 11 rushing scores, with RB Makhi Hughes arriving from Oregon. The line returns 5,542 snaps, 4th in FBS, and the 2025 defense ranked 35th in havoc and 19th in pass breakups per game.</w:t>
      </w:r>
    </w:p>
    <w:p>
      <w:pPr>
        <w:spacing w:after="160" w:line="276"/>
      </w:pPr>
      <w:r>
        <w:t xml:space="preserve">Support: Texas Tech's defense ranks 3rd nationally in success rate, 2nd in havoc and 4th in finishing drives, and grades 96.5, first in FBS. The offense ranks 1st nationally in field position and grades 85.6, 17th. Houston's offense ranks 89th in success rate and 103rd in finishing drives with a pass block grade of 49.2, 127th, against that front. TAN has Texas Tech 7th and Houston 36th, Net RP 2nd and 26th, and Texas Tech plays at the 6th-fastest tempo in the country against Houston's 72nd.</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Clemson -3.0</w:t>
      </w:r>
    </w:p>
    <w:p>
      <w:pPr>
        <w:spacing w:after="200"/>
      </w:pPr>
      <w:r>
        <w:rPr>
          <w:color w:val="5A6270"/>
          <w:sz w:val="21"/>
          <w:szCs w:val="21"/>
        </w:rPr>
        <w:t xml:space="preserve">North Carolina Tar Heels @ Clemson Tigers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Clemson -3.0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Clemson -11.5</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8.5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Clemson +12.8 (38th) vs North Carolina +3.8 (96th)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+2.5</w:t>
            </w:r>
          </w:p>
        </w:tc>
      </w:tr>
      <w:tr>
        <w:tc>
          <w:tcPr>
            <w:tcW w:type="dxa" w:w="3830"/>
            <w:shd w:fill="F4F5F7" w:val="clear"/>
            <w:tcMar>
              <w:top w:type="dxa" w:w="60"/>
              <w:left w:type="dxa" w:w="120"/>
              <w:bottom w:type="dxa" w:w="60"/>
              <w:right w:type="dxa" w:w="120"/>
            </w:tcMar>
          </w:tcPr>
          <w:p>
            <w:r>
              <w:rPr>
                <w:b w:val="false"/>
                <w:bCs w:val="false"/>
                <w:sz w:val="19"/>
                <w:szCs w:val="19"/>
              </w:rPr>
              <w:t xml:space="preserve">2025 PF / PA</w:t>
            </w:r>
          </w:p>
        </w:tc>
        <w:tc>
          <w:tcPr>
            <w:tcW w:type="dxa" w:w="6250"/>
            <w:shd w:fill="F4F5F7" w:val="clear"/>
            <w:tcMar>
              <w:top w:type="dxa" w:w="60"/>
              <w:left w:type="dxa" w:w="120"/>
              <w:bottom w:type="dxa" w:w="60"/>
              <w:right w:type="dxa" w:w="120"/>
            </w:tcMar>
          </w:tcPr>
          <w:p>
            <w:r>
              <w:rPr>
                <w:b/>
                <w:bCs/>
                <w:sz w:val="19"/>
                <w:szCs w:val="19"/>
              </w:rPr>
              <w:t xml:space="preserve">Clemson 344/245, North Carolina 231/294</w:t>
            </w:r>
          </w:p>
        </w:tc>
      </w:tr>
      <w:tr>
        <w:tc>
          <w:tcPr>
            <w:tcW w:type="dxa" w:w="3830"/>
            <w:shd w:fill="FFFFFF" w:val="clear"/>
            <w:tcMar>
              <w:top w:type="dxa" w:w="60"/>
              <w:left w:type="dxa" w:w="120"/>
              <w:bottom w:type="dxa" w:w="60"/>
              <w:right w:type="dxa" w:w="120"/>
            </w:tcMar>
          </w:tcPr>
          <w:p>
            <w:r>
              <w:rPr>
                <w:b w:val="false"/>
                <w:bCs w:val="false"/>
                <w:sz w:val="19"/>
                <w:szCs w:val="19"/>
              </w:rPr>
              <w:t xml:space="preserve">Returning OL snaps</w:t>
            </w:r>
          </w:p>
        </w:tc>
        <w:tc>
          <w:tcPr>
            <w:tcW w:type="dxa" w:w="6250"/>
            <w:shd w:fill="FFFFFF" w:val="clear"/>
            <w:tcMar>
              <w:top w:type="dxa" w:w="60"/>
              <w:left w:type="dxa" w:w="120"/>
              <w:bottom w:type="dxa" w:w="60"/>
              <w:right w:type="dxa" w:w="120"/>
            </w:tcMar>
          </w:tcPr>
          <w:p>
            <w:r>
              <w:rPr>
                <w:b/>
                <w:bCs/>
                <w:sz w:val="19"/>
                <w:szCs w:val="19"/>
              </w:rPr>
              <w:t xml:space="preserve">North Carolina 1,126 (135th FBS)</w:t>
            </w:r>
          </w:p>
        </w:tc>
      </w:tr>
    </w:tbl>
    <w:p>
      <w:pPr>
        <w:spacing w:after="180"/>
      </w:pPr>
    </w:p>
    <w:p>
      <w:pPr>
        <w:spacing w:after="160" w:line="276"/>
      </w:pPr>
      <w:r>
        <w:t xml:space="preserve">Clemson is laying 3. SP+ plus home field puts the number at 11.5 — Clemson +12.8, 38th nationally, against North Carolina +3.8, 96th — an 8.5-point gap.</w:t>
      </w:r>
    </w:p>
    <w:p>
      <w:pPr>
        <w:spacing w:after="160" w:line="276"/>
      </w:pPr>
      <w:r>
        <w:t xml:space="preserve">Clemson is Dabo Swinney at 186-53 (77.8%) straight up. OC Chad Morris runs the most even concept distribution among ACC contenders: inside zone 16.6%, counter 12.0%, power 10.7%. DC Tom Allen's shell is a hybrid 2-4-5 and 3-3-5 with a near-even Cover-3 / Cover-1 split (33.0% / 31.0%), the most man-willing contender defense in the conference, and it returns four of its top five tacklers with portal safeties Jerome Carter and Corey Myrick added. The defense grades 89.9 overall, 88.7 against the run, 81.2 in coverage. Chris Vizzina came out of spring as QB1 with no portal addition behind him.</w:t>
      </w:r>
    </w:p>
    <w:p>
      <w:pPr>
        <w:spacing w:after="160" w:line="276"/>
      </w:pPr>
      <w:r>
        <w:t xml:space="preserve">North Carolina is Bill Belichick's second year after a 4-8 debut that finished outside the top 100 in nearly every offensive metric. OC Freddie Kitchens was fired and Bobby Petrino takes over the offense; the returning offensive line is 1,126 snaps, 135th in FBS. Steve Belichick's defense continues unchanged — a 2-4-5 (66.9%) and 2-5-4 (18.1%) sub-package structure with Cover-3 at 32.0% and Cover-1 at 29.8% — but the top three tacklers depart, with Edge Melkart Abou-Jaoude and his 10.5 sacks the main returner. The unit-matchup table favours Clemson in all five pairings on that side of the ball: +29.6 run block against run defense, +17.3 receivers against coverage, +15.6 pass offense against pass rush.</w:t>
      </w:r>
    </w:p>
    <w:p>
      <w:pPr>
        <w:spacing w:after="160" w:line="276"/>
      </w:pPr>
      <w:r>
        <w:t xml:space="preserve">Support: Clemson's defense ranks 8th nationally in havoc, 10th in finishing drives, 22nd in field position and 23rd in success rate, grading 89.9 overall, 28th in FBS, with coverage at 81.2, 39th. North Carolina's offense ranks 113th in success rate, 117th in explosiveness and 109th in finishing drives, grading 68.2, 99th. Clemson holds all five unit matchups on that side of the ball — +29.6 run block against run defense, +17.3 receivers against coverage, +15.6 pass offense against pass rush — and the starter table puts Clemson's front seven at a 81.1 unit average against a North Carolina line at 47.5. TAN separates them 23rd to 53rd and Net RP 72nd to 107th.</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Nevada -3.5</w:t>
      </w:r>
    </w:p>
    <w:p>
      <w:pPr>
        <w:spacing w:after="200"/>
      </w:pPr>
      <w:r>
        <w:rPr>
          <w:color w:val="5A6270"/>
          <w:sz w:val="21"/>
          <w:szCs w:val="21"/>
        </w:rPr>
        <w:t xml:space="preserve">Nevada Wolf Pack @ Middle Tennessee Blue Raiders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Middle Tennessee +3.5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Middle Tennessee +11.8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8.3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Nevada -12.2 (115th) vs Middle Tennessee -26.0 (125th)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+2.0</w:t>
            </w:r>
          </w:p>
        </w:tc>
      </w:tr>
      <w:tr>
        <w:tc>
          <w:tcPr>
            <w:tcW w:type="dxa" w:w="3830"/>
            <w:shd w:fill="F4F5F7" w:val="clear"/>
            <w:tcMar>
              <w:top w:type="dxa" w:w="60"/>
              <w:left w:type="dxa" w:w="120"/>
              <w:bottom w:type="dxa" w:w="60"/>
              <w:right w:type="dxa" w:w="120"/>
            </w:tcMar>
          </w:tcPr>
          <w:p>
            <w:r>
              <w:rPr>
                <w:b w:val="false"/>
                <w:bCs w:val="false"/>
                <w:sz w:val="19"/>
                <w:szCs w:val="19"/>
              </w:rPr>
              <w:t xml:space="preserve">2025 PF / PA</w:t>
            </w:r>
          </w:p>
        </w:tc>
        <w:tc>
          <w:tcPr>
            <w:tcW w:type="dxa" w:w="6250"/>
            <w:shd w:fill="F4F5F7" w:val="clear"/>
            <w:tcMar>
              <w:top w:type="dxa" w:w="60"/>
              <w:left w:type="dxa" w:w="120"/>
              <w:bottom w:type="dxa" w:w="60"/>
              <w:right w:type="dxa" w:w="120"/>
            </w:tcMar>
          </w:tcPr>
          <w:p>
            <w:r>
              <w:rPr>
                <w:b/>
                <w:bCs/>
                <w:sz w:val="19"/>
                <w:szCs w:val="19"/>
              </w:rPr>
              <w:t xml:space="preserve">Nevada 211/330, Middle Tennessee 269/371</w:t>
            </w:r>
          </w:p>
        </w:tc>
      </w:tr>
      <w:tr>
        <w:tc>
          <w:tcPr>
            <w:tcW w:type="dxa" w:w="3830"/>
            <w:shd w:fill="FFFFFF" w:val="clear"/>
            <w:tcMar>
              <w:top w:type="dxa" w:w="60"/>
              <w:left w:type="dxa" w:w="120"/>
              <w:bottom w:type="dxa" w:w="60"/>
              <w:right w:type="dxa" w:w="120"/>
            </w:tcMar>
          </w:tcPr>
          <w:p>
            <w:r>
              <w:rPr>
                <w:b w:val="false"/>
                <w:bCs w:val="false"/>
                <w:sz w:val="19"/>
                <w:szCs w:val="19"/>
              </w:rPr>
              <w:t xml:space="preserve">Derek Mason record</w:t>
            </w:r>
          </w:p>
        </w:tc>
        <w:tc>
          <w:tcPr>
            <w:tcW w:type="dxa" w:w="6250"/>
            <w:shd w:fill="FFFFFF" w:val="clear"/>
            <w:tcMar>
              <w:top w:type="dxa" w:w="60"/>
              <w:left w:type="dxa" w:w="120"/>
              <w:bottom w:type="dxa" w:w="60"/>
              <w:right w:type="dxa" w:w="120"/>
            </w:tcMar>
          </w:tcPr>
          <w:p>
            <w:r>
              <w:rPr>
                <w:b/>
                <w:bCs/>
                <w:sz w:val="19"/>
                <w:szCs w:val="19"/>
              </w:rPr>
              <w:t xml:space="preserve">33-72 SU (31.4%), 48-56-1 ATS</w:t>
            </w:r>
          </w:p>
        </w:tc>
      </w:tr>
    </w:tbl>
    <w:p>
      <w:pPr>
        <w:spacing w:after="180"/>
      </w:pPr>
    </w:p>
    <w:p>
      <w:pPr>
        <w:spacing w:after="160" w:line="276"/>
      </w:pPr>
      <w:r>
        <w:t xml:space="preserve">The book has Middle Tennessee at +3.5 at home. SP+ plus home field puts them at +11.8 — Middle Tennessee -26.0, 125th nationally, against Nevada -12.2, 115th — an 8.3-point gap, which makes the side Nevada -3.5.</w:t>
      </w:r>
    </w:p>
    <w:p>
      <w:pPr>
        <w:spacing w:after="160" w:line="276"/>
      </w:pPr>
      <w:r>
        <w:t xml:space="preserve">Middle Tennessee is Derek Mason at 33-72 (31.4%) straight up and 48-56-1 against the spread. Bodie Reeder's pass-lean menu left for Western Kentucky; Anthony Scelfo arrives from Southeastern Louisiana and the file says he will call a run-heavy game to control clock, bringing portal players and his former offensive line coach with him. QB Roman Gagliano took over in week 12 as a freshman and closed the season with 7 passing touchdowns, 9 big-time throws and no interceptions. DC Brian Stewart keeps the odd fronts — 3-3-5 at 62.9%, 3-4-4 at 26.4% — with a man-forward Cover-1 lead at 29.2%, but six of seven tacklers are gone. Returning offensive line snaps: 2,944, 100th in FBS, and the pass block grade of 48.3 ranks 128th in FBS.</w:t>
      </w:r>
    </w:p>
    <w:p>
      <w:pPr>
        <w:spacing w:after="160" w:line="276"/>
      </w:pPr>
      <w:r>
        <w:t xml:space="preserve">Nevada is Jeff Choate's third year at 6-19 (24.0%) straight up and 10-11-2 against the spread. New OC Brett Bartolone replaces a run-first scheme with the pass-first spread option he called at Jackson State, and the file records an explicit move to up-tempo after averaging 26.5 seconds per play in 2025. DC Kane Ioane keeps a 2-4-5 base at 67.4% with real dime usage at 10.4% behind a Cover-3 lead. The defense grades 86.6 overall, 82.6 in pass rush and 78.5 in coverage, each ahead of Middle Tennessee's equivalent. DE Dylan Labarbera returns with 10.5 tackles for loss and 6.5 sacks; CB Aiden Walker is listed among the best in the Mountain West.</w:t>
      </w:r>
    </w:p>
    <w:p>
      <w:pPr>
        <w:spacing w:after="160" w:line="276"/>
      </w:pPr>
      <w:r>
        <w:t xml:space="preserve">Support: Middle Tennessee's defense ranks 107th nationally in success rate, 102nd in finishing drives and 90th in explosiveness allowed, and the offense ranks 116th in finishing drives and 116th in havoc allowed behind that 128th-ranked pass protection. Nevada's defense grades 86.6, 35th in FBS, with pass rush at 82.6, 24th, and coverage at 78.5, 47th, and ranks 37th nationally in explosiveness allowed and 40th in field position — three top-50 units against an offense grading 63.1, 123rd. Net RP has Nevada 104th to Middle Tennessee's 113th before the 13.8-point SP+ gap is applied.</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c03a47cb053f34a9799ea9ef0cade97fce0f9c5.png"/><Relationship Id="rId8" Type="http://schemas.openxmlformats.org/officeDocument/2006/relationships/image" Target="media/707d72dc97163a58184446e1a7ad226b4926d31e.png"/><Relationship Id="rId9" Type="http://schemas.openxmlformats.org/officeDocument/2006/relationships/image" Target="media/a91b56ef750a082e9005106612dd32028d20bcf6.png"/><Relationship Id="rId10" Type="http://schemas.openxmlformats.org/officeDocument/2006/relationships/image" Target="media/6996667389f3bcd51a42d3fe3c91ccf8133dcb45.png"/><Relationship Id="rId11" Type="http://schemas.openxmlformats.org/officeDocument/2006/relationships/image" Target="media/7673dbcebd02b369b9a588131e3fd662bfcaf8b0.png"/><Relationship Id="rId12" Type="http://schemas.openxmlformats.org/officeDocument/2006/relationships/image" Target="media/5163a4924a9070dfb64e1f0f19b897d190b2d8c6.png"/><Relationship Id="rId13" Type="http://schemas.openxmlformats.org/officeDocument/2006/relationships/image" Target="media/b9046b287a0715408740cc934715401a49705460.png"/><Relationship Id="rId14" Type="http://schemas.openxmlformats.org/officeDocument/2006/relationships/image" Target="media/4b922a45f8490fe3fa5ccdad26d22fda3b031596.png"/><Relationship Id="rId15" Type="http://schemas.openxmlformats.org/officeDocument/2006/relationships/image" Target="media/5a84047050ff2f433d3c5f4c6c3af8efc3851781.png"/><Relationship Id="rId16" Type="http://schemas.openxmlformats.org/officeDocument/2006/relationships/image" Target="media/1d71e4a62743e316446134c3bb35c428240730c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2026-09-19T04:27:41.465Z</dcterms:created>
  <dcterms:modified xsi:type="dcterms:W3CDTF">2026-09-19T04:27:41.466Z</dcterms:modified>
</cp:coreProperties>
</file>

<file path=docProps/custom.xml><?xml version="1.0" encoding="utf-8"?>
<Properties xmlns="http://schemas.openxmlformats.org/officeDocument/2006/custom-properties" xmlns:vt="http://schemas.openxmlformats.org/officeDocument/2006/docPropsVTypes"/>
</file>