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w:body><w:p><w:pPr><w:pStyle w:val="Normal"/><w:bidi w:val="0"/><w:jc w:val="center"/><w:rPr><w:rFonts w:ascii="DejaVu Sans" w:hAnsi="DejaVu Sans"/><w:sz w:val="80"/><w:szCs w:val="80"/></w:rPr></w:pPr><w:r><w:rPr><w:rFonts w:ascii="DejaVu Sans" w:hAnsi="DejaVu Sans"/><w:sz w:val="80"/><w:szCs w:val="80"/></w:rPr><w:t>ATAC-seq Pauline</w:t></w:r></w:p><w:p><w:pPr><w:pStyle w:val="Normal"/><w:bidi w:val="0"/><w:jc w:val="center"/><w:rPr><w:rFonts w:ascii="DejaVu Sans" w:hAnsi="DejaVu Sans"/></w:rPr></w:pPr><w:r><w:rPr><w:rFonts w:ascii="DejaVu Sans" w:hAnsi="DejaVu Sans"/></w:rPr></w:r></w:p><w:p><w:pPr><w:pStyle w:val="Titre1"/><w:bidi w:val="0"/><w:jc w:val="left"/><w:rPr><w:rFonts w:ascii="DejaVu Sans" w:hAnsi="DejaVu Sans"/></w:rPr></w:pPr><w:r><w:rPr><w:rFonts w:ascii="DejaVu Sans" w:hAnsi="DejaVu Sans"/></w:rPr><w:t>Materials and Methods</w:t></w:r></w:p><w:p><w:pPr><w:pStyle w:val="Normal"/><w:numPr><w:ilvl w:val="0"/><w:numId w:val="0"/></w:numPr><w:bidi w:val="0"/><w:ind w:left="1080" w:hanging="0"/><w:jc w:val="left"/><w:rPr><w:rFonts w:ascii="DejaVu Sans" w:hAnsi="DejaVu Sans"/></w:rPr></w:pPr><w:r><w:rPr><w:rFonts w:ascii="DejaVu Sans" w:hAnsi="DejaVu Sans"/></w:rPr></w:r></w:p><w:p><w:pPr><w:pStyle w:val="Titre2"/><w:bidi w:val="0"/><w:jc w:val="left"/><w:rPr><w:rFonts w:ascii="DejaVu Sans" w:hAnsi="DejaVu Sans"/></w:rPr></w:pPr><w:r><w:rPr><w:rFonts w:ascii="DejaVu Sans" w:hAnsi="DejaVu Sans"/></w:rPr><w:t>Guidelines</w:t></w:r></w:p><w:p><w:pPr><w:pStyle w:val="Normal"/><w:bidi w:val="0"/><w:jc w:val="left"/><w:rPr><w:rFonts w:ascii="DejaVu Sans" w:hAnsi="DejaVu Sans"/></w:rPr></w:pPr><w:r><w:rPr><w:rFonts w:ascii="DejaVu Sans" w:hAnsi="DejaVu Sans"/></w:rPr></w:r></w:p><w:p><w:pPr><w:pStyle w:val="Normal"/><w:bidi w:val="0"/><w:jc w:val="both"/><w:rPr><w:rFonts w:ascii="DejaVu Sans" w:hAnsi="DejaVu Sans"/></w:rPr></w:pPr><w:r><w:rPr><w:rFonts w:ascii="DejaVu Sans" w:hAnsi="DejaVu Sans"/></w:rPr><w:t>We largely inspired by different guidelines papers</w:t></w:r><w:r><w:rPr><w:rFonts w:ascii="DejaVu Sans" w:hAnsi="DejaVu Sans"/><w:vertAlign w:val="superscript"/></w:rPr><w:t>a,b</w:t></w:r><w:r><w:rPr><w:rFonts w:ascii="DejaVu Sans" w:hAnsi="DejaVu Sans"/></w:rPr><w:t xml:space="preserve">. </w:t></w:r></w:p><w:p><w:pPr><w:pStyle w:val="Normal"/><w:bidi w:val="0"/><w:jc w:val="left"/><w:rPr><w:rFonts w:ascii="DejaVu Sans" w:hAnsi="DejaVu Sans"/></w:rPr></w:pPr><w:r><w:rPr><w:rFonts w:ascii="DejaVu Sans" w:hAnsi="DejaVu Sans"/></w:rPr></w:r></w:p><w:p><w:pPr><w:pStyle w:val="Titre2"/><w:bidi w:val="0"/><w:jc w:val="left"/><w:rPr><w:rFonts w:ascii="DejaVu Sans" w:hAnsi="DejaVu Sans"/></w:rPr></w:pPr><w:r><w:rPr><w:rFonts w:ascii="DejaVu Sans" w:hAnsi="DejaVu Sans"/></w:rPr><w:t>Bioinformatic pretreatment</w:t></w:r></w:p><w:p><w:pPr><w:pStyle w:val="Normal"/><w:bidi w:val="0"/><w:jc w:val="left"/><w:rPr><w:rFonts w:ascii="DejaVu Sans" w:hAnsi="DejaVu Sans"/></w:rPr></w:pPr><w:r><w:rPr><w:rFonts w:ascii="DejaVu Sans" w:hAnsi="DejaVu Sans"/></w:rPr></w:r></w:p><w:p><w:pPr><w:pStyle w:val="Normal"/><w:bidi w:val="0"/><w:jc w:val="both"/><w:rPr><w:rFonts w:ascii="DejaVu Sans" w:hAnsi="DejaVu Sans"/></w:rPr></w:pPr><w:r><w:rPr><w:rFonts w:ascii="DejaVu Sans" w:hAnsi="DejaVu Sans"/></w:rPr><w:t>We used nfcore/atacseq</w:t></w:r><w:r><w:rPr><w:rFonts w:ascii="DejaVu Sans" w:hAnsi="DejaVu Sans"/><w:vertAlign w:val="superscript"/></w:rPr><w:t>1</w:t></w:r><w:r><w:rPr><w:rFonts w:ascii="DejaVu Sans" w:hAnsi="DejaVu Sans"/></w:rPr><w:t xml:space="preserve"> pipeline for trimming</w:t></w:r><w:r><w:rPr><w:rFonts w:ascii="DejaVu Sans" w:hAnsi="DejaVu Sans"/><w:vertAlign w:val="superscript"/></w:rPr><w:t>2</w:t></w:r><w:r><w:rPr><w:rFonts w:ascii="DejaVu Sans" w:hAnsi="DejaVu Sans"/></w:rPr><w:t>, alignment</w:t></w:r><w:r><w:rPr><w:rFonts w:ascii="DejaVu Sans" w:hAnsi="DejaVu Sans"/><w:vertAlign w:val="superscript"/></w:rPr><w:t>3</w:t></w:r><w:r><w:rPr><w:rFonts w:ascii="DejaVu Sans" w:hAnsi="DejaVu Sans"/></w:rPr><w:t>, peak calling</w:t></w:r><w:r><w:rPr><w:rFonts w:ascii="DejaVu Sans" w:hAnsi="DejaVu Sans"/><w:vertAlign w:val="superscript"/></w:rPr><w:t>4</w:t></w:r><w:r><w:rPr><w:rFonts w:ascii="DejaVu Sans" w:hAnsi="DejaVu Sans"/></w:rPr><w:t xml:space="preserve">, annotate </w:t></w:r><w:r><w:rPr><w:rFonts w:ascii="DejaVu Sans" w:hAnsi="DejaVu Sans"/><w:position w:val="0"/><w:sz w:val="24"/><w:vertAlign w:val="baseline"/></w:rPr><w:t>peak</w:t></w:r><w:r><w:rPr><w:rFonts w:ascii="DejaVu Sans" w:hAnsi="DejaVu Sans"/><w:vertAlign w:val="superscript"/></w:rPr><w:t>5</w:t></w:r><w:r><w:rPr><w:rFonts w:ascii="DejaVu Sans" w:hAnsi="DejaVu Sans"/><w:position w:val="0"/><w:sz w:val="24"/><w:vertAlign w:val="baseline"/></w:rPr><w:t xml:space="preserve">, </w:t></w:r><w:r><w:rPr><w:rFonts w:ascii="DejaVu Sans" w:hAnsi="DejaVu Sans"/><w:position w:val="0"/><w:sz w:val="24"/><w:vertAlign w:val="baseline"/></w:rPr><w:t>count</w:t></w:r><w:r><w:rPr><w:rFonts w:ascii="DejaVu Sans" w:hAnsi="DejaVu Sans"/></w:rPr><w:t xml:space="preserve"> reads</w:t></w:r><w:r><w:rPr><w:rFonts w:ascii="DejaVu Sans" w:hAnsi="DejaVu Sans"/><w:vertAlign w:val="superscript"/></w:rPr><w:t>6</w:t></w:r><w:r><w:rPr><w:rFonts w:ascii="DejaVu Sans" w:hAnsi="DejaVu Sans"/></w:rPr><w:t xml:space="preserve"> in consensus peaks </w:t></w:r><w:r><w:rPr><w:rFonts w:ascii="DejaVu Sans" w:hAnsi="DejaVu Sans"/></w:rPr><w:t>and all for each step quality-control</w:t></w:r><w:r><w:rPr><w:rFonts w:ascii="DejaVu Sans" w:hAnsi="DejaVu Sans"/><w:vertAlign w:val="superscript"/></w:rPr><w:t>7</w:t></w:r><w:r><w:rPr><w:rFonts w:ascii="DejaVu Sans" w:hAnsi="DejaVu Sans"/></w:rPr><w:t>. Pipeline generated data to make a differential accessibility analysis, PCA and clustering</w:t></w:r><w:r><w:rPr><w:rFonts w:ascii="DejaVu Sans" w:hAnsi="DejaVu Sans"/><w:vertAlign w:val="superscript"/></w:rPr><w:t>8</w:t></w:r><w:r><w:rPr><w:rFonts w:ascii="DejaVu Sans" w:hAnsi="DejaVu Sans"/></w:rPr><w:t>.</w:t></w:r></w:p><w:p><w:pPr><w:pStyle w:val="Normal"/><w:bidi w:val="0"/><w:jc w:val="left"/><w:rPr><w:rFonts w:ascii="DejaVu Sans" w:hAnsi="DejaVu Sans"/></w:rPr></w:pPr><w:r><w:rPr><w:rFonts w:ascii="DejaVu Sans" w:hAnsi="DejaVu Sans"/></w:rPr></w:r></w:p><w:p><w:pPr><w:pStyle w:val="Titre2"/><w:bidi w:val="0"/><w:jc w:val="left"/><w:rPr><w:rFonts w:ascii="DejaVu Sans" w:hAnsi="DejaVu Sans"/></w:rPr></w:pPr><w:r><w:rPr><w:rFonts w:ascii="DejaVu Sans" w:hAnsi="DejaVu Sans"/></w:rPr><w:t>Bioinformatic analysis</w:t></w:r></w:p><w:p><w:pPr><w:pStyle w:val="Normal"/><w:bidi w:val="0"/><w:jc w:val="left"/><w:rPr><w:rFonts w:ascii="DejaVu Sans" w:hAnsi="DejaVu Sans"/></w:rPr></w:pPr><w:r><w:rPr><w:rFonts w:ascii="DejaVu Sans" w:hAnsi="DejaVu Sans"/></w:rPr></w:r></w:p><w:p><w:pPr><w:pStyle w:val="Titre3"/><w:bidi w:val="0"/><w:jc w:val="left"/><w:rPr><w:rFonts w:ascii="DejaVu Sans" w:hAnsi="DejaVu Sans"/></w:rPr></w:pPr><w:r><w:rPr><w:rFonts w:ascii="DejaVu Sans" w:hAnsi="DejaVu Sans"/></w:rPr><w:t>Chromatine occupancy step</w:t></w:r></w:p><w:p><w:pPr><w:pStyle w:val="Normal"/><w:bidi w:val="0"/><w:jc w:val="left"/><w:rPr><w:rFonts w:ascii="DejaVu Sans" w:hAnsi="DejaVu Sans"/></w:rPr></w:pPr><w:r><w:rPr><w:rFonts w:ascii="DejaVu Sans" w:hAnsi="DejaVu Sans"/></w:rPr></w:r></w:p><w:p><w:pPr><w:pStyle w:val="Normal"/><w:bidi w:val="0"/><w:jc w:val="both"/><w:rPr><w:rFonts w:ascii="DejaVu Sans" w:hAnsi="DejaVu Sans"/></w:rPr></w:pPr><w:r><w:rPr><w:rFonts w:ascii="DejaVu Sans" w:hAnsi="DejaVu Sans"/></w:rPr><w:t>Tn5 tranposase used in ATAC-seq protocol working near to entry-exit sites of the nucleosomal DNA</w:t></w:r><w:r><w:rPr><w:rFonts w:ascii="DejaVu Sans" w:hAnsi="DejaVu Sans"/><w:vertAlign w:val="superscript"/></w:rPr><w:t>c</w:t></w:r><w:r><w:rPr><w:rFonts w:ascii="DejaVu Sans" w:hAnsi="DejaVu Sans"/><w:position w:val="0"/><w:sz w:val="24"/><w:vertAlign w:val="baseline"/></w:rPr><w:t xml:space="preserve">. </w:t></w:r><w:r><w:rPr><w:rFonts w:ascii="DejaVu Sans" w:hAnsi="DejaVu Sans"/><w:position w:val="0"/><w:sz w:val="24"/><w:vertAlign w:val="baseline"/></w:rPr><w:t xml:space="preserve">Objective is sequencing linker-DNA as represent of chromatine accessibility where the length is variable on genome and form is limited into 4 shapes (Fig.1). </w:t></w:r><w:r><w:rPr><w:rFonts w:ascii="DejaVu Sans" w:hAnsi="DejaVu Sans"/><w:position w:val="0"/><w:sz w:val="24"/><w:vertAlign w:val="baseline"/></w:rPr><w:t xml:space="preserve">As chromatine is a </w:t></w:r><w:r><w:rPr><w:rFonts w:ascii="DejaVu Sans" w:hAnsi="DejaVu Sans"/><w:position w:val="0"/><w:sz w:val="24"/><w:vertAlign w:val="baseline"/></w:rPr><w:t>suite</w:t></w:r><w:r><w:rPr><w:rFonts w:ascii="DejaVu Sans" w:hAnsi="DejaVu Sans"/><w:position w:val="0"/><w:sz w:val="24"/><w:vertAlign w:val="baseline"/></w:rPr><w:t xml:space="preserve"> of nucleosome</w:t></w:r><w:r><w:rPr><w:rFonts w:ascii="DejaVu Sans" w:hAnsi="DejaVu Sans"/><w:position w:val="0"/><w:sz w:val="24"/><w:vertAlign w:val="baseline"/></w:rPr><w:t>s</w:t></w:r><w:r><w:rPr><w:rFonts w:ascii="DejaVu Sans" w:hAnsi="DejaVu Sans"/><w:position w:val="0"/><w:sz w:val="24"/><w:vertAlign w:val="baseline"/></w:rPr><w:t xml:space="preserve"> with a variable distance between each element, we separated reads mapped into two categories : inferred nucleosome-free fragments (</w:t></w:r><w:r><w:rPr><w:rFonts w:ascii="DejaVu Sans" w:hAnsi="DejaVu Sans"/><w:position w:val="0"/><w:sz w:val="24"/><w:vertAlign w:val="baseline"/></w:rPr><w:t>NFR</w:t></w:r><w:r><w:rPr><w:rFonts w:ascii="DejaVu Sans" w:hAnsi="DejaVu Sans"/><w:position w:val="0"/><w:sz w:val="24"/><w:vertAlign w:val="baseline"/></w:rPr><w:t>) and nucleosome-bound region (</w:t></w:r><w:r><w:rPr><w:rFonts w:ascii="DejaVu Sans" w:hAnsi="DejaVu Sans"/><w:position w:val="0"/><w:sz w:val="24"/><w:vertAlign w:val="baseline"/></w:rPr><w:t>NBR</w:t></w:r><w:r><w:rPr><w:rFonts w:ascii="DejaVu Sans" w:hAnsi="DejaVu Sans"/><w:position w:val="0"/><w:sz w:val="24"/><w:vertAlign w:val="baseline"/></w:rPr><w:t xml:space="preserve">). </w:t></w:r><w:r><w:rPr><w:rFonts w:ascii="DejaVu Sans" w:hAnsi="DejaVu Sans"/><w:position w:val="0"/><w:sz w:val="24"/><w:vertAlign w:val="baseline"/></w:rPr><w:t>The first category contains mostly linker-DNA and short genomic regions. The second category contains differents larges genomics regions.</w:t></w:r></w:p><w:p><w:pPr><w:pStyle w:val="Normal"/><w:bidi w:val="0"/><w:jc w:val="both"/><w:rPr><w:rFonts w:ascii="DejaVu Sans" w:hAnsi="DejaVu Sans"/></w:rPr></w:pPr><w:r><w:rPr><w:rFonts w:ascii="DejaVu Sans" w:hAnsi="DejaVu Sans"/><w:position w:val="0"/><w:sz w:val="24"/><w:vertAlign w:val="baseline"/></w:rPr><w:t>Linker-DNA length ranges between ~20–</w:t></w:r><w:r><w:rPr><w:rFonts w:ascii="DejaVu Sans" w:hAnsi="DejaVu Sans"/><w:position w:val="0"/><w:sz w:val="24"/><w:vertAlign w:val="baseline"/></w:rPr><w:t>10</w:t></w:r><w:r><w:rPr><w:rFonts w:ascii="DejaVu Sans" w:hAnsi="DejaVu Sans"/><w:position w:val="0"/><w:sz w:val="24"/><w:vertAlign w:val="baseline"/></w:rPr><w:t>0</w:t></w:r><w:r><w:rPr><w:rFonts w:ascii="DejaVu Sans" w:hAnsi="DejaVu Sans"/><w:position w:val="0"/><w:sz w:val="24"/><w:vertAlign w:val="baseline"/></w:rPr><w:t xml:space="preserve"> bp and varies among different species, tissues, and even fluctuates within a single cellular genome</w:t></w:r><w:r><w:rPr><w:rFonts w:ascii="DejaVu Sans" w:hAnsi="DejaVu Sans"/><w:vertAlign w:val="superscript"/></w:rPr><w:t>d</w:t></w:r><w:r><w:rPr><w:rFonts w:ascii="DejaVu Sans" w:hAnsi="DejaVu Sans"/><w:position w:val="0"/><w:sz w:val="24"/><w:vertAlign w:val="baseline"/></w:rPr><w:t xml:space="preserve">. </w:t></w:r><w:r><w:rPr><w:rFonts w:ascii="DejaVu Sans" w:hAnsi="DejaVu Sans"/><w:position w:val="0"/><w:sz w:val="24"/><w:vertAlign w:val="baseline"/></w:rPr><w:t xml:space="preserve">We used Fourier transformation analysis of Distribution </w:t></w:r><w:r><w:rPr><w:rFonts w:ascii="DejaVu Sans" w:hAnsi="DejaVu Sans"/><w:position w:val="0"/><w:sz w:val="24"/><w:vertAlign w:val="baseline"/></w:rPr><w:t>from ATACgraph</w:t></w:r><w:r><w:rPr><w:rFonts w:ascii="DejaVu Sans" w:hAnsi="DejaVu Sans"/><w:position w:val="0"/><w:sz w:val="24"/><w:vertAlign w:val="baseline"/></w:rPr><w:t xml:space="preserve"> to identify the length for the first NBR (NBR+1 = mono-nucleosome) (Fig.2</w:t></w:r><w:r><w:rPr><w:rFonts w:ascii="DejaVu Sans" w:hAnsi="DejaVu Sans"/><w:position w:val="0"/><w:sz w:val="24"/><w:vertAlign w:val="baseline"/></w:rPr><w:t>b</w:t></w:r><w:r><w:rPr><w:rFonts w:ascii="DejaVu Sans" w:hAnsi="DejaVu Sans"/><w:position w:val="0"/><w:sz w:val="24"/><w:vertAlign w:val="baseline"/></w:rPr><w:t xml:space="preserve">). </w:t></w:r><w:r><w:rPr><w:rFonts w:ascii="DejaVu Sans" w:hAnsi="DejaVu Sans"/><w:position w:val="0"/><w:sz w:val="24"/><w:vertAlign w:val="baseline"/></w:rPr><w:t xml:space="preserve">We indicates categories on fragment length distribution : </w:t></w:r></w:p><w:p><w:pPr><w:pStyle w:val="Normal"/><w:numPr><w:ilvl w:val="0"/><w:numId w:val="4"/></w:numPr><w:bidi w:val="0"/><w:jc w:val="both"/><w:rPr><w:rFonts w:ascii="DejaVu Sans" w:hAnsi="DejaVu Sans"/></w:rPr></w:pPr><w:r><w:rPr><w:rFonts w:ascii="DejaVu Sans" w:hAnsi="DejaVu Sans"/><w:position w:val="0"/><w:sz w:val="24"/><w:vertAlign w:val="baseline"/></w:rPr><w:t>N</w:t></w:r><w:r><w:rPr><w:rFonts w:ascii="DejaVu Sans" w:hAnsi="DejaVu Sans"/><w:position w:val="0"/><w:sz w:val="24"/><w:vertAlign w:val="baseline"/></w:rPr><w:t xml:space="preserve">FR : nucleosomal free-region </w:t></w:r><w:r><w:rPr><w:rFonts w:ascii="DejaVu Sans" w:hAnsi="DejaVu Sans"/><w:position w:val="0"/><w:sz w:val="24"/><w:vertAlign w:val="baseline"/></w:rPr><w:t>(23 to 100bp)</w:t></w:r></w:p><w:p><w:pPr><w:pStyle w:val="Normal"/><w:numPr><w:ilvl w:val="0"/><w:numId w:val="4"/></w:numPr><w:bidi w:val="0"/><w:jc w:val="both"/><w:rPr><w:rFonts w:ascii="DejaVu Sans" w:hAnsi="DejaVu Sans"/></w:rPr></w:pPr><w:r><w:rPr><w:rFonts w:ascii="DejaVu Sans" w:hAnsi="DejaVu Sans"/><w:position w:val="0"/><w:sz w:val="24"/><w:vertAlign w:val="baseline"/></w:rPr><w:t xml:space="preserve">inter 1 : region between NFR and NBR+1 </w:t></w:r><w:r><w:rPr><w:rFonts w:ascii="DejaVu Sans" w:hAnsi="DejaVu Sans"/><w:position w:val="0"/><w:sz w:val="24"/><w:vertAlign w:val="baseline"/></w:rPr><w:t>(101 to 169 bp)</w:t></w:r></w:p><w:p><w:pPr><w:pStyle w:val="Normal"/><w:numPr><w:ilvl w:val="0"/><w:numId w:val="4"/></w:numPr><w:bidi w:val="0"/><w:jc w:val="both"/><w:rPr><w:rFonts w:ascii="DejaVu Sans" w:hAnsi="DejaVu Sans"/></w:rPr></w:pPr><w:r><w:rPr><w:rFonts w:ascii="DejaVu Sans" w:hAnsi="DejaVu Sans"/><w:position w:val="0"/><w:sz w:val="24"/><w:vertAlign w:val="baseline"/></w:rPr><w:t xml:space="preserve">NBR+1 : region flanked by mono-nucleosome </w:t></w:r><w:r><w:rPr><w:rFonts w:ascii="DejaVu Sans" w:hAnsi="DejaVu Sans"/><w:position w:val="0"/><w:sz w:val="24"/><w:vertAlign w:val="baseline"/></w:rPr><w:t>(170 to 220 bp)</w:t></w:r></w:p><w:p><w:pPr><w:pStyle w:val="Normal"/><w:numPr><w:ilvl w:val="0"/><w:numId w:val="4"/></w:numPr><w:bidi w:val="0"/><w:jc w:val="both"/><w:rPr><w:rFonts w:ascii="DejaVu Sans" w:hAnsi="DejaVu Sans"/></w:rPr></w:pPr><w:r><w:rPr><w:rFonts w:ascii="DejaVu Sans" w:hAnsi="DejaVu Sans"/><w:position w:val="0"/><w:sz w:val="24"/><w:vertAlign w:val="baseline"/></w:rPr><w:t xml:space="preserve">inter 2 : region between NBR+1 and NBR+2 </w:t></w:r><w:r><w:rPr><w:rFonts w:ascii="DejaVu Sans" w:hAnsi="DejaVu Sans"/><w:position w:val="0"/><w:sz w:val="24"/><w:vertAlign w:val="baseline"/></w:rPr><w:t>(221 to 339 bp)</w:t></w:r></w:p><w:p><w:pPr><w:pStyle w:val="Normal"/><w:numPr><w:ilvl w:val="0"/><w:numId w:val="4"/></w:numPr><w:bidi w:val="0"/><w:jc w:val="both"/><w:rPr><w:rFonts w:ascii="DejaVu Sans" w:hAnsi="DejaVu Sans"/></w:rPr></w:pPr><w:r><w:rPr><w:rFonts w:ascii="DejaVu Sans" w:hAnsi="DejaVu Sans"/><w:position w:val="0"/><w:sz w:val="24"/><w:vertAlign w:val="baseline"/></w:rPr><w:t xml:space="preserve">NBR+2 : region flanked by di-nucleosome </w:t></w:r><w:r><w:rPr><w:rFonts w:ascii="DejaVu Sans" w:hAnsi="DejaVu Sans"/><w:position w:val="0"/><w:sz w:val="24"/><w:vertAlign w:val="baseline"/></w:rPr><w:t>(340 to 400 bp)</w:t></w:r></w:p><w:p><w:pPr><w:pStyle w:val="Normal"/><w:bidi w:val="0"/><w:jc w:val="left"/><w:rPr><w:position w:val="0"/><w:sz w:val="24"/><w:vertAlign w:val="baseline"/></w:rPr></w:pPr><w:r><w:rPr><w:rFonts w:ascii="DejaVu Sans" w:hAnsi="DejaVu Sans"/></w:rPr></w:r></w:p><w:p><w:pPr><w:pStyle w:val="Normal"/><w:bidi w:val="0"/><w:jc w:val="left"/><w:rPr><w:rFonts w:ascii="DejaVu Sans" w:hAnsi="DejaVu Sans"/><w:highlight w:val="yellow"/></w:rPr></w:pPr><w:r><w:rPr><w:rFonts w:ascii="DejaVu Sans" w:hAnsi="DejaVu Sans"/><w:i/><w:iCs/><w:position w:val="0"/><w:sz w:val="24"/><w:highlight w:val="yellow"/><w:vertAlign w:val="baseline"/></w:rPr><w:t>Th</w:t></w:r><w:r><w:rPr><w:rFonts w:ascii="DejaVu Sans" w:hAnsi="DejaVu Sans"/><w:i/><w:iCs/><w:position w:val="0"/><w:sz w:val="24"/><w:highlight w:val="yellow"/><w:vertAlign w:val="baseline"/></w:rPr><w:t>ese information</w:t></w:r><w:r><w:rPr><w:rFonts w:ascii="DejaVu Sans" w:hAnsi="DejaVu Sans"/><w:i/><w:iCs/><w:position w:val="0"/><w:sz w:val="24"/><w:highlight w:val="yellow"/><w:vertAlign w:val="baseline"/></w:rPr><w:t xml:space="preserve">s </w:t></w:r><w:r><w:rPr><w:rFonts w:ascii="DejaVu Sans" w:hAnsi="DejaVu Sans"/><w:i/><w:iCs/><w:position w:val="0"/><w:sz w:val="24"/><w:highlight w:val="yellow"/><w:vertAlign w:val="baseline"/></w:rPr><w:t>are just descriptive. And there are not usage for the rest of analysis because I don’t have time now for integrate parameters and adapt scripts to a custom analysis for each category. But in much publications, it’s used to find enhancer for example.</w:t></w:r></w:p><w:p><w:pPr><w:pStyle w:val="Normal"/><w:bidi w:val="0"/><w:jc w:val="left"/><w:rPr><w:position w:val="0"/><w:sz w:val="24"/><w:vertAlign w:val="baseline"/></w:rPr></w:pPr><w:r><w:rPr><w:rFonts w:ascii="DejaVu Sans" w:hAnsi="DejaVu Sans"/></w:rPr></w:r></w:p><w:p><w:pPr><w:pStyle w:val="Titre3"/><w:bidi w:val="0"/><w:jc w:val="left"/><w:rPr><w:rFonts w:ascii="DejaVu Sans" w:hAnsi="DejaVu Sans"/></w:rPr></w:pPr><w:r><w:rPr><w:rFonts w:ascii="DejaVu Sans" w:hAnsi="DejaVu Sans"/></w:rPr><w:t>Peak calling analysis</w:t></w:r></w:p><w:p><w:pPr><w:pStyle w:val="Normal"/><w:bidi w:val="0"/><w:jc w:val="left"/><w:rPr><w:position w:val="0"/><w:sz w:val="24"/><w:vertAlign w:val="baseline"/></w:rPr></w:pPr><w:r><w:rPr><w:rFonts w:ascii="DejaVu Sans" w:hAnsi="DejaVu Sans"/></w:rPr></w:r></w:p><w:p><w:pPr><w:pStyle w:val="Normal"/><w:bidi w:val="0"/><w:jc w:val="both"/><w:rPr><w:rFonts w:ascii="DejaVu Sans" w:hAnsi="DejaVu Sans"/></w:rPr></w:pPr><w:r><w:rPr><w:rFonts w:ascii="DejaVu Sans" w:hAnsi="DejaVu Sans"/><w:position w:val="0"/><w:sz w:val="24"/><w:vertAlign w:val="baseline"/></w:rPr><w:t xml:space="preserve">We focused on peak calling for NFR and inter 1 categories. First, we plotted a global view genome with a log10 peak calling score as scale. To facilitate reading, we filtered any peak inferior to log10(peak score) ≤ 3.1. (Fig.1d). </w:t></w:r></w:p><w:p><w:pPr><w:pStyle w:val="Normal"/><w:bidi w:val="0"/><w:jc w:val="both"/><w:rPr><w:rFonts w:ascii="DejaVu Sans" w:hAnsi="DejaVu Sans"/></w:rPr></w:pPr><w:r><w:rPr><w:rFonts w:ascii="DejaVu Sans" w:hAnsi="DejaVu Sans"/><w:position w:val="0"/><w:sz w:val="24"/><w:vertAlign w:val="baseline"/></w:rPr><w:t>We created an union Granges object from broadpeak Setdb1</w:t></w:r><w:r><w:rPr><w:rFonts w:ascii="DejaVu Sans" w:hAnsi="DejaVu Sans"/><w:vertAlign w:val="superscript"/></w:rPr><w:t>+/+</w:t></w:r><w:r><w:rPr><w:rFonts w:ascii="DejaVu Sans" w:hAnsi="DejaVu Sans"/><w:position w:val="0"/><w:sz w:val="24"/><w:vertAlign w:val="baseline"/></w:rPr><w:t xml:space="preserve"> and  </w:t></w:r><w:r><w:rPr><w:rFonts w:ascii="DejaVu Sans" w:hAnsi="DejaVu Sans"/><w:position w:val="0"/><w:sz w:val="24"/><w:vertAlign w:val="baseline"/></w:rPr><w:t>Setdb</w:t></w:r><w:r><w:rPr><w:rFonts w:ascii="DejaVu Sans" w:hAnsi="DejaVu Sans"/><w:vertAlign w:val="superscript"/></w:rPr><w:t>Δ/Δ</w:t></w:r><w:r><w:rPr><w:rFonts w:ascii="DejaVu Sans" w:hAnsi="DejaVu Sans"/><w:position w:val="0"/><w:sz w:val="24"/><w:vertAlign w:val="baseline"/></w:rPr><w:t xml:space="preserve">. </w:t></w:r><w:r><w:rPr><w:rFonts w:ascii="DejaVu Sans" w:hAnsi="DejaVu Sans"/><w:position w:val="0"/><w:sz w:val="24"/><w:vertAlign w:val="baseline"/></w:rPr><w:t xml:space="preserve">It contains for each sample,peak calling score, coverage on region overlapped, mean coverage and mean peak calling score for all sample. </w:t></w:r></w:p><w:p><w:pPr><w:pStyle w:val="Normal"/><w:bidi w:val="0"/><w:jc w:val="both"/><w:rPr><w:rFonts w:ascii="DejaVu Sans" w:hAnsi="DejaVu Sans"/></w:rPr></w:pPr><w:r><w:rPr><w:rFonts w:ascii="DejaVu Sans" w:hAnsi="DejaVu Sans"/><w:position w:val="0"/><w:sz w:val="24"/><w:vertAlign w:val="baseline"/></w:rPr><w:t>From data</w:t></w:r><w:r><w:rPr><w:rFonts w:ascii="DejaVu Sans" w:hAnsi="DejaVu Sans"/><w:position w:val="0"/><w:sz w:val="24"/><w:vertAlign w:val="baseline"/></w:rPr><w:t xml:space="preserve">, we plotted </w:t></w:r><w:r><w:rPr><w:rFonts w:ascii="DejaVu Sans" w:hAnsi="DejaVu Sans"/><w:position w:val="0"/><w:sz w:val="24"/><w:vertAlign w:val="baseline"/></w:rPr><w:t>the d</w:t></w:r><w:r><w:rPr><w:rFonts w:ascii="DejaVu Sans" w:hAnsi="DejaVu Sans"/><w:position w:val="0"/><w:sz w:val="24"/><w:vertAlign w:val="baseline"/></w:rPr><w:t xml:space="preserve">istribution of ATAC-seq peak by sample </w:t></w:r><w:r><w:rPr><w:rFonts w:ascii="DejaVu Sans" w:hAnsi="DejaVu Sans"/><w:position w:val="0"/><w:sz w:val="24"/><w:vertAlign w:val="baseline"/></w:rPr><w:t>(Fig. 1e).</w:t></w:r></w:p><w:p><w:pPr><w:pStyle w:val="Normal"/><w:bidi w:val="0"/><w:jc w:val="both"/><w:rPr><w:rFonts w:ascii="DejaVu Sans" w:hAnsi="DejaVu Sans"/></w:rPr></w:pPr><w:r><w:rPr><w:rFonts w:ascii="DejaVu Sans" w:hAnsi="DejaVu Sans"/><w:i w:val="false"/><w:iCs w:val="false"/><w:position w:val="0"/><w:sz w:val="24"/><w:vertAlign w:val="baseline"/></w:rPr><w:t>We used merged peaks object to annotate peak</w:t></w:r><w:r><w:rPr><w:rFonts w:ascii="DejaVu Sans" w:hAnsi="DejaVu Sans"/><w:i w:val="false"/><w:iCs w:val="false"/><w:position w:val="0"/><w:sz w:val="24"/><w:vertAlign w:val="baseline"/></w:rPr><w:t>s</w:t></w:r><w:r><w:rPr><w:rFonts w:ascii="DejaVu Sans" w:hAnsi="DejaVu Sans"/><w:i w:val="false"/><w:iCs w:val="false"/><w:position w:val="0"/><w:sz w:val="24"/><w:vertAlign w:val="baseline"/></w:rPr><w:t xml:space="preserve"> with </w:t></w:r><w:r><w:rPr><w:rFonts w:ascii="DejaVu Sans" w:hAnsi="DejaVu Sans"/><w:i/><w:iCs/><w:position w:val="0"/><w:sz w:val="24"/><w:vertAlign w:val="baseline"/></w:rPr><w:t xml:space="preserve">annotatePeak </w:t></w:r><w:r><w:rPr><w:rFonts w:ascii="DejaVu Sans" w:hAnsi="DejaVu Sans"/><w:i w:val="false"/><w:iCs w:val="false"/><w:position w:val="0"/><w:sz w:val="24"/><w:vertAlign w:val="baseline"/></w:rPr><w:t>from ChIPseeker R package on TxDb.Mmusculus.UCSC.mm10.knownGene references.</w:t></w:r></w:p><w:p><w:pPr><w:pStyle w:val="Normal"/><w:bidi w:val="0"/><w:jc w:val="both"/><w:rPr><w:rFonts w:ascii="DejaVu Sans" w:hAnsi="DejaVu Sans"/></w:rPr></w:pPr><w:r><w:rPr><w:rFonts w:ascii="DejaVu Sans" w:hAnsi="DejaVu Sans"/><w:i w:val="false"/><w:iCs w:val="false"/><w:position w:val="0"/><w:sz w:val="24"/><w:vertAlign w:val="baseline"/></w:rPr><w:t xml:space="preserve">We </w:t></w:r><w:r><w:rPr><w:rFonts w:ascii="DejaVu Sans" w:hAnsi="DejaVu Sans"/><w:i w:val="false"/><w:iCs w:val="false"/><w:position w:val="0"/><w:sz w:val="24"/><w:vertAlign w:val="baseline"/></w:rPr><w:t xml:space="preserve">calculated distances between each center of regions with nearest transposables elements positions from mm10 repeatmasker database, nearest CGI positions from </w:t></w:r><w:r><w:rPr><w:rFonts w:ascii="DejaVu Sans" w:hAnsi="DejaVu Sans"/><w:i w:val="false"/><w:iCs w:val="false"/><w:position w:val="0"/><w:sz w:val="24"/><w:vertAlign w:val="baseline"/></w:rPr><w:t xml:space="preserve">TxDb.Mmusculus.UCSC.mm10.knownGene references. </w:t></w:r><w:r><w:rPr><w:rFonts w:ascii="DejaVu Sans" w:hAnsi="DejaVu Sans"/><w:i w:val="false"/><w:iCs w:val="false"/><w:position w:val="0"/><w:sz w:val="24"/><w:vertAlign w:val="baseline"/></w:rPr><w:t>with</w:t></w:r><w:r><w:rPr><w:rFonts w:ascii="DejaVu Sans" w:hAnsi="DejaVu Sans"/><w:i/><w:iCs/><w:position w:val="0"/><w:sz w:val="24"/><w:vertAlign w:val="baseline"/></w:rPr><w:t xml:space="preserve"> annotatr</w:t></w:r><w:r><w:rPr><w:rFonts w:ascii="DejaVu Sans" w:hAnsi="DejaVu Sans"/><w:i w:val="false"/><w:iCs w:val="false"/><w:position w:val="0"/><w:sz w:val="24"/><w:vertAlign w:val="baseline"/></w:rPr><w:t xml:space="preserve"> R package and nearest TSSs positions with the same reference. We filtering the minimal distance between one transposable element for one subfamily to one peak.</w:t></w:r></w:p><w:p><w:pPr><w:pStyle w:val="Normal"/><w:bidi w:val="0"/><w:jc w:val="both"/><w:rPr><w:rFonts w:ascii="DejaVu Sans" w:hAnsi="DejaVu Sans"/></w:rPr></w:pPr><w:r><w:rPr><w:rFonts w:ascii="DejaVu Sans" w:hAnsi="DejaVu Sans"/><w:i w:val="false"/><w:iCs w:val="false"/><w:position w:val="0"/><w:sz w:val="24"/><w:vertAlign w:val="baseline"/></w:rPr><w:t xml:space="preserve">We focused interest on CGI, TSS, DNA, ERV1, ERVK, ERVL (3 </w:t></w:r><w:r><w:rPr><w:rFonts w:ascii="DejaVu Sans" w:hAnsi="DejaVu Sans"/><w:i w:val="false"/><w:iCs w:val="false"/><w:position w:val="0"/><w:sz w:val="24"/><w:vertAlign w:val="baseline"/></w:rPr><w:t xml:space="preserve">majors </w:t></w:r><w:r><w:rPr><w:rFonts w:ascii="DejaVu Sans" w:hAnsi="DejaVu Sans"/><w:i w:val="false"/><w:iCs w:val="false"/><w:position w:val="0"/><w:sz w:val="24"/><w:vertAlign w:val="baseline"/></w:rPr><w:t>LTR subfamilies), LINE and SINE positions.</w:t></w:r></w:p><w:p><w:pPr><w:pStyle w:val="Normal"/><w:bidi w:val="0"/><w:jc w:val="both"/><w:rPr><w:rFonts w:ascii="DejaVu Sans" w:hAnsi="DejaVu Sans"/></w:rPr></w:pPr><w:r><w:rPr><w:rFonts w:ascii="DejaVu Sans" w:hAnsi="DejaVu Sans"/><w:i w:val="false"/><w:iCs w:val="false"/><w:position w:val="0"/><w:sz w:val="24"/><w:vertAlign w:val="baseline"/></w:rPr><w:t xml:space="preserve">We plotted relative abundance for each sample to each interested positions for all peaks annotations based to biotype genomic content (Distal intergenic, Promoter ≤ 1kb to 3 kb, separetly into 3 subcategories), UTR regions (5’ and 3’), exons, intron and dowstream region (≤ 300 bp). </w:t></w:r><w:r><w:rPr><w:rFonts w:ascii="DejaVu Sans" w:hAnsi="DejaVu Sans"/><w:i w:val="false"/><w:iCs w:val="false"/><w:position w:val="0"/><w:sz w:val="24"/><w:vertAlign w:val="baseline"/></w:rPr><w:t>(Fig.2a).</w:t></w:r></w:p><w:p><w:pPr><w:pStyle w:val="Normal"/><w:bidi w:val="0"/><w:jc w:val="both"/><w:rPr><w:rFonts w:ascii="DejaVu Sans" w:hAnsi="DejaVu Sans"/></w:rPr></w:pPr><w:r><w:rPr><w:rFonts w:ascii="DejaVu Sans" w:hAnsi="DejaVu Sans"/><w:i w:val="false"/><w:iCs w:val="false"/><w:position w:val="0"/><w:sz w:val="24"/><w:vertAlign w:val="baseline"/></w:rPr><w:t>We selected Promoter and Distal intergenic regions to evaluate conditions impacts (specific peaks for one condition) on transposable element. We compared peak width which contains transposable elements between conditions with a t-test (Fig.2b)</w:t></w:r></w:p><w:p><w:pPr><w:pStyle w:val="Normal"/><w:bidi w:val="0"/><w:jc w:val="both"/><w:rPr><w:i w:val="false"/><w:i w:val="false"/><w:iCs w:val="false"/><w:position w:val="0"/><w:sz w:val="24"/><w:vertAlign w:val="baseline"/></w:rPr></w:pPr><w:r><w:rPr><w:rFonts w:ascii="DejaVu Sans" w:hAnsi="DejaVu Sans"/></w:rPr></w:r></w:p><w:p><w:pPr><w:pStyle w:val="Normal"/><w:bidi w:val="0"/><w:jc w:val="both"/><w:rPr><w:rFonts w:ascii="DejaVu Sans" w:hAnsi="DejaVu Sans"/></w:rPr></w:pPr><w:r><w:rPr><w:rFonts w:ascii="DejaVu Sans" w:hAnsi="DejaVu Sans"/><w:i w:val="false"/><w:iCs w:val="false"/><w:position w:val="0"/><w:sz w:val="24"/><w:vertAlign w:val="baseline"/></w:rPr><w:t>W</w:t></w:r><w:r><w:rPr><w:rFonts w:ascii="DejaVu Sans" w:hAnsi="DejaVu Sans"/><w:i w:val="false"/><w:iCs w:val="false"/><w:position w:val="0"/><w:sz w:val="24"/><w:vertAlign w:val="baseline"/></w:rPr><w:t xml:space="preserve">e plotted enrichment peaks </w:t></w:r><w:r><w:rPr><w:rFonts w:ascii="DejaVu Sans" w:hAnsi="DejaVu Sans"/><w:i w:val="false"/><w:iCs w:val="false"/><w:position w:val="0"/><w:sz w:val="24"/><w:vertAlign w:val="baseline"/></w:rPr><w:t>over</w:t></w:r><w:r><w:rPr><w:rFonts w:ascii="DejaVu Sans" w:hAnsi="DejaVu Sans"/><w:i w:val="false"/><w:iCs w:val="false"/><w:position w:val="0"/><w:sz w:val="24"/><w:vertAlign w:val="baseline"/></w:rPr><w:t xml:space="preserve"> TSSs and CGI. We calculated normalized enrichment matrix </w:t></w:r><w:r><w:rPr><w:rFonts w:ascii="DejaVu Sans" w:hAnsi="DejaVu Sans"/><w:i w:val="false"/><w:iCs w:val="false"/><w:position w:val="0"/><w:sz w:val="24"/><w:vertAlign w:val="baseline"/></w:rPr><w:t xml:space="preserve">from NFR and inter-1 groups </w:t></w:r><w:r><w:rPr><w:rFonts w:ascii="DejaVu Sans" w:hAnsi="DejaVu Sans"/><w:i w:val="false"/><w:iCs w:val="false"/><w:position w:val="0"/><w:sz w:val="24"/><w:vertAlign w:val="baseline"/></w:rPr><w:t>over</w:t></w:r><w:r><w:rPr><w:rFonts w:ascii="DejaVu Sans" w:hAnsi="DejaVu Sans"/><w:i w:val="false"/><w:iCs w:val="false"/><w:position w:val="0"/><w:sz w:val="24"/><w:vertAlign w:val="baseline"/></w:rPr><w:t xml:space="preserve"> TSSs position and CGI regions positions with </w:t></w:r><w:r><w:rPr><w:rFonts w:ascii="DejaVu Sans" w:hAnsi="DejaVu Sans"/><w:i/><w:iCs/><w:position w:val="0"/><w:sz w:val="24"/><w:vertAlign w:val="baseline"/></w:rPr><w:t xml:space="preserve">normalizeToMatrix </w:t></w:r><w:r><w:rPr><w:rFonts w:ascii="DejaVu Sans" w:hAnsi="DejaVu Sans"/><w:i w:val="false"/><w:iCs w:val="false"/><w:position w:val="0"/><w:sz w:val="24"/><w:vertAlign w:val="baseline"/></w:rPr><w:t xml:space="preserve">from EnrichedHeatmap. To perform plot, we extracted data and calculated 2-means to merge enrichment profiles between TSSs and CGI signals. To allow a better comparison between conditions, we calculated a </w:t></w:r><w:r><w:rPr><w:rFonts w:ascii="DejaVu Sans" w:hAnsi="DejaVu Sans"/><w:i w:val="false"/><w:iCs w:val="false"/><w:position w:val="0"/><w:sz w:val="24"/><w:vertAlign w:val="baseline"/></w:rPr><w:t>difference</w:t></w:r><w:r><w:rPr><w:rFonts w:ascii="DejaVu Sans" w:hAnsi="DejaVu Sans"/><w:i w:val="false"/><w:iCs w:val="false"/><w:position w:val="0"/><w:sz w:val="24"/><w:vertAlign w:val="baseline"/></w:rPr><w:t xml:space="preserve"> enrichment between </w:t></w:r><w:r><w:rPr><w:rFonts w:ascii="DejaVu Sans" w:hAnsi="DejaVu Sans"/><w:i w:val="false"/><w:iCs w:val="false"/><w:position w:val="0"/><w:sz w:val="24"/><w:vertAlign w:val="baseline"/></w:rPr><w:t>conditions</w:t></w:r><w:r><w:rPr><w:rFonts w:ascii="DejaVu Sans" w:hAnsi="DejaVu Sans"/><w:i w:val="false"/><w:iCs w:val="false"/><w:position w:val="0"/><w:sz w:val="24"/><w:vertAlign w:val="baseline"/></w:rPr><w:t xml:space="preserve"> (Fig. 2c)</w:t></w:r></w:p><w:p><w:pPr><w:pStyle w:val="Normal"/><w:bidi w:val="0"/><w:jc w:val="left"/><w:rPr><w:position w:val="0"/><w:sz w:val="24"/><w:vertAlign w:val="baseline"/></w:rPr></w:pPr><w:r><w:rPr><w:rFonts w:ascii="DejaVu Sans" w:hAnsi="DejaVu Sans"/></w:rPr></w:r></w:p><w:p><w:pPr><w:pStyle w:val="Normal"/><w:bidi w:val="0"/><w:jc w:val="left"/><w:rPr><w:rFonts w:ascii="DejaVu Sans" w:hAnsi="DejaVu Sans"/></w:rPr></w:pPr><w:r><w:rPr><w:rFonts w:ascii="DejaVu Sans" w:hAnsi="DejaVu Sans"/><w:position w:val="0"/><w:sz w:val="24"/><w:vertAlign w:val="baseline"/></w:rPr><w:t>​</w:t></w:r><w:r><w:rPr><w:rFonts w:ascii="DejaVu Sans" w:hAnsi="DejaVu Sans"/><w:position w:val="0"/><w:sz w:val="24"/><w:highlight w:val="yellow"/><w:vertAlign w:val="baseline"/></w:rPr><w:t>​​</w:t></w:r><w:r><w:rPr><w:rFonts w:ascii="DejaVu Sans" w:hAnsi="DejaVu Sans"/><w:i/><w:iCs/><w:position w:val="0"/><w:sz w:val="24"/><w:highlight w:val="yellow"/><w:vertAlign w:val="baseline"/></w:rPr><w:t>If I have time, I re-run Fig. 2c with correct name sample.</w:t></w:r><w:r><w:rPr><w:rFonts w:ascii="DejaVu Sans" w:hAnsi="DejaVu Sans"/><w:i/><w:iCs/><w:position w:val="0"/><w:sz w:val="24"/><w:highlight w:val="yellow"/><w:vertAlign w:val="baseline"/></w:rPr><w:t>s</w:t></w:r><w:r><w:rPr><w:rFonts w:ascii="DejaVu Sans" w:hAnsi="DejaVu Sans"/><w:i/><w:iCs/><w:position w:val="0"/><w:sz w:val="24"/><w:highlight w:val="yellow"/><w:vertAlign w:val="baseline"/></w:rPr><w:t xml:space="preserve"> And I plotted also enchancer enrichment. </w:t></w:r></w:p><w:p><w:pPr><w:pStyle w:val="Normal"/><w:bidi w:val="0"/><w:jc w:val="left"/><w:rPr><w:rFonts w:ascii="DejaVu Sans" w:hAnsi="DejaVu Sans"/><w:highlight w:val="yellow"/></w:rPr></w:pPr><w:r><w:rPr><w:rFonts w:ascii="DejaVu Sans" w:hAnsi="DejaVu Sans"/><w:i/><w:iCs/><w:position w:val="0"/><w:sz w:val="24"/><w:highlight w:val="yellow"/><w:vertAlign w:val="baseline"/></w:rPr><w:t xml:space="preserve">For 2 reasons : first, I used only peaks on NFR and inter 1 groups to maximise informations but In many papers, it’s interesting to make on </w:t></w:r><w:r><w:rPr><w:rFonts w:ascii="DejaVu Sans" w:hAnsi="DejaVu Sans"/><w:i/><w:iCs/><w:position w:val="0"/><w:sz w:val="24"/><w:highlight w:val="yellow"/><w:vertAlign w:val="baseline"/></w:rPr><w:t xml:space="preserve">it for </w:t></w:r><w:r><w:rPr><w:rFonts w:ascii="DejaVu Sans" w:hAnsi="DejaVu Sans"/><w:i/><w:iCs/><w:position w:val="0"/><w:sz w:val="24"/><w:highlight w:val="yellow"/><w:vertAlign w:val="baseline"/></w:rPr><w:t xml:space="preserve">all groups separetly first or in combinaison, </w:t></w:r><w:r><w:rPr><w:rFonts w:ascii="DejaVu Sans" w:hAnsi="DejaVu Sans"/><w:i/><w:iCs/><w:position w:val="0"/><w:sz w:val="24"/><w:highlight w:val="yellow"/><w:vertAlign w:val="baseline"/></w:rPr><w:t>in second time.</w:t></w:r><w:r><w:rPr><w:rFonts w:ascii="DejaVu Sans" w:hAnsi="DejaVu Sans"/><w:i/><w:iCs/><w:position w:val="0"/><w:sz w:val="24"/><w:highlight w:val="yellow"/><w:vertAlign w:val="baseline"/></w:rPr><w:t xml:space="preserve"> Second, these enrichment plot doesn’t associated with annotation peaks. So, It’s very interesting to merge informations to explain the signal enrichment, </w:t></w:r><w:r><w:rPr><w:rFonts w:ascii="DejaVu Sans" w:hAnsi="DejaVu Sans"/><w:i/><w:iCs/><w:position w:val="0"/><w:sz w:val="24"/><w:highlight w:val="yellow"/><w:vertAlign w:val="baseline"/></w:rPr><w:t>mostly in k-means groups.</w:t></w:r></w:p><w:p><w:pPr><w:pStyle w:val="Normal"/><w:bidi w:val="0"/><w:jc w:val="left"/><w:rPr><w:position w:val="0"/><w:sz w:val="24"/><w:vertAlign w:val="baseline"/></w:rPr></w:pPr><w:r><w:rPr><w:rFonts w:ascii="DejaVu Sans" w:hAnsi="DejaVu Sans"/><w:highlight w:val="yellow"/></w:rPr></w:r></w:p><w:p><w:pPr><w:pStyle w:val="Normal"/><w:bidi w:val="0"/><w:jc w:val="left"/><w:rPr><w:rFonts w:ascii="DejaVu Sans" w:hAnsi="DejaVu Sans"/></w:rPr></w:pPr><w:r><w:rPr><w:rFonts w:ascii="DejaVu Sans" w:hAnsi="DejaVu Sans"/></w:rPr></w:r></w:p><w:p><w:pPr><w:pStyle w:val="Titre3"/><w:bidi w:val="0"/><w:jc w:val="left"/><w:rPr><w:rFonts w:ascii="DejaVu Sans" w:hAnsi="DejaVu Sans"/></w:rPr></w:pPr><w:r><w:rPr><w:rFonts w:ascii="DejaVu Sans" w:hAnsi="DejaVu Sans"/></w:rPr><w:t>Differential accessibility analysis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To evaluate Tn5 accessibility on samples, we performed differential analysis on count reads over open regions from peak calling. We build an union table between replicates and conditions. </w:t></w:r><w:r><w:rPr><w:rFonts w:ascii="DejaVu Sans" w:hAnsi="DejaVu Sans"/></w:rPr><w:t xml:space="preserve">Then, we realised quality-control of samples and differential analysis with </w:t></w:r><w:r><w:rPr><w:rFonts w:ascii="DejaVu Sans" w:hAnsi="DejaVu Sans"/><w:i/><w:iCs/></w:rPr><w:t>DESeq2</w:t></w:r><w:r><w:rPr><w:rFonts w:ascii="DejaVu Sans" w:hAnsi="DejaVu Sans"/><w:i w:val="false"/><w:iCs w:val="false"/></w:rPr><w:t xml:space="preserve"> (Fig. 3a). We associated deregulated open region information with annotation. (Fig. 3b).</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Titre3"/><w:bidi w:val="0"/><w:jc w:val="left"/><w:rPr></w:rPr></w:pPr><w:r><w:rPr></w:rPr><w:t>Footprinting over Transposable element</w:t></w:r></w:p><w:p><w:pPr><w:pStyle w:val="Corpsdetexte"/><w:bidi w:val="0"/><w:jc w:val="left"/><w:rPr><w:rFonts w:eastAsia="Noto Sans CJK SC" w:cs="Lohit Devanagari"/><w:b/><w:b/><w:bCs/><w:sz w:val="28"/><w:szCs w:val="28"/></w:rPr></w:pPr><w:r><w:rPr><w:rFonts w:ascii="DejaVu Sans" w:hAnsi="DejaVu Sans"/><w:b w:val="false"/><w:bCs w:val="false"/></w:rPr></w:r></w:p><w:p><w:pPr><w:pStyle w:val="Corpsdetexte"/><w:bidi w:val="0"/><w:jc w:val="left"/><w:rPr><w:rFonts w:ascii="DejaVu Sans" w:hAnsi="DejaVu Sans"/><w:b w:val="false"/><w:b w:val="false"/><w:bCs w:val="false"/></w:rPr></w:pPr><w:r><w:rPr><w:rFonts w:eastAsia="Noto Sans CJK SC" w:cs="Lohit Devanagari" w:ascii="DejaVu Sans" w:hAnsi="DejaVu Sans"/><w:b w:val="false"/><w:bCs w:val="false"/><w:sz w:val="24"/><w:szCs w:val="24"/></w:rPr><w:t>To evaluate if open region contains a TE sequence, we performed enrichment peaks over differents families and subfamilies TE. We calculated coverage each normalized peak over TE. We plotted best candidates with the best coverage of all normalized enrichment peaks and we separated normalized  enrichment peaks by K-means  (Figure 4a, 4b and 4c).</w:t></w:r></w:p><w:p><w:pPr><w:pStyle w:val="Normal"/><w:bidi w:val="0"/><w:jc w:val="left"/><w:rPr><w:rFonts w:ascii="DejaVu Sans" w:hAnsi="DejaVu Sans"/><w:sz w:val="24"/><w:szCs w:val="24"/></w:rPr></w:pPr><w:r><w:rPr><w:rFonts w:ascii="DejaVu Sans" w:hAnsi="DejaVu Sans"/><w:sz w:val="24"/><w:szCs w:val="24"/></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u w:val="single"/></w:rPr><w:t>Figure 1</w:t></w:r><w:r><w:rPr><w:rFonts w:ascii="DejaVu Sans" w:hAnsi="DejaVu Sans"/><w:u w:val="single"/></w:rPr><w:t>a</w:t></w:r><w:r><w:rPr><w:rFonts w:ascii="DejaVu Sans" w:hAnsi="DejaVu Sans"/><w:u w:val="single"/></w:rPr><w:t xml:space="preserve"> : Different possibilities of linker-DNA. L is length </w:t></w:r><w:r><w:rPr><w:rFonts w:ascii="DejaVu Sans" w:hAnsi="DejaVu Sans"/><w:u w:val="single"/></w:rPr><w:t>(angström)</w:t></w:r><w:r><w:rPr><w:rFonts w:ascii="DejaVu Sans" w:hAnsi="DejaVu Sans"/><w:u w:val="single"/></w:rPr><w:t xml:space="preserve">, </w:t></w:r><w:r><w:rPr><w:rFonts w:ascii="DejaVu Sans" w:hAnsi="DejaVu Sans"/><w:u w:val="single"/></w:rPr><w:t xml:space="preserve">β is </w:t></w:r><w:r><w:rPr><w:rFonts w:ascii="DejaVu Sans" w:hAnsi="DejaVu Sans"/><w:u w:val="single"/></w:rPr><w:t>torsion</w:t></w:r><w:r><w:rPr><w:rFonts w:ascii="DejaVu Sans" w:hAnsi="DejaVu Sans"/><w:u w:val="single"/></w:rPr><w:t xml:space="preserve"> angle.</w:t></w:r></w:p><w:p><w:pPr><w:pStyle w:val="Normal"/><w:bidi w:val="0"/><w:jc w:val="left"/><w:rPr></w:rPr></w:pPr><w:r><w:rPr><w:rFonts w:ascii="DejaVu Sans" w:hAnsi="DejaVu Sans"/><w:u w:val="single"/></w:rPr><w:t>source :</w:t></w:r><w:r><w:rPr><w:rFonts w:ascii="DejaVu Sans" w:hAnsi="DejaVu Sans"/></w:rPr><w:t xml:space="preserve"> </w:t></w:r><w:hyperlink r:id="rId2"><w:r><w:rPr><w:rStyle w:val="LienInternet"/><w:rFonts w:ascii="DejaVu Sans" w:hAnsi="DejaVu Sans"/></w:rPr><w:t>https://www.researchgate.net/figure/Linker-DNa-length-variations-change-spacing-and-orientation-between-nucleosomes_fig1_230879604</w:t></w:r></w:hyperlink><w:r><w:rPr><w:rFonts w:ascii="DejaVu Sans" w:hAnsi="DejaVu Sans"/></w:rPr><w:t xml:space="preserve"> adapted to </w:t></w:r><w:hyperlink r:id="rId3" w:tgtFrame="_blank"><w:r><w:rPr><w:rStyle w:val="LienInternet"/><w:rFonts w:ascii="DejaVu Sans" w:hAnsi="DejaVu Sans"/></w:rPr><w:t>10.4161/nucl.22168</w:t></w:r></w:hyperlink></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7"><wp:simplePos x="0" y="0"/><wp:positionH relativeFrom="column"><wp:align>center</wp:align></wp:positionH><wp:positionV relativeFrom="paragraph"><wp:posOffset>635</wp:posOffset></wp:positionV><wp:extent cx="6120130" cy="3974465"/><wp:effectExtent l="0" t="0" r="0" b="0"/><wp:wrapSquare wrapText="largest"/><wp:docPr id="1" name="Image1"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Image1" descr=""></pic:cNvPr><pic:cNvPicPr><a:picLocks noChangeAspect="1" noChangeArrowheads="1"/></pic:cNvPicPr></pic:nvPicPr><pic:blipFill><a:blip r:embed="rId4"></a:blip><a:stretch><a:fillRect/></a:stretch></pic:blipFill><pic:spPr bwMode="auto"><a:xfrm><a:off x="0" y="0"/><a:ext cx="6120130" cy="3974465"/></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1b : Fourier Transformation Analysis of distribution</w:t></w:r></w:p><w:p><w:pPr><w:pStyle w:val="Normal"/><w:bidi w:val="0"/><w:jc w:val="left"/><w:rPr><w:rFonts w:ascii="DejaVu Sans" w:hAnsi="DejaVu Sans"/></w:rPr></w:pPr><w:r><w:rPr><w:rFonts w:ascii="DejaVu Sans" w:hAnsi="DejaVu Sans"/></w:rPr><w:drawing><wp:anchor behindDoc="0" distT="0" distB="0" distL="0" distR="0" simplePos="0" locked="0" layoutInCell="1" allowOverlap="1" relativeHeight="2"><wp:simplePos x="0" y="0"/><wp:positionH relativeFrom="column"><wp:align>center</wp:align></wp:positionH><wp:positionV relativeFrom="paragraph"><wp:posOffset>635</wp:posOffset></wp:positionV><wp:extent cx="4573270" cy="3625850"/><wp:effectExtent l="0" t="0" r="0" b="0"/><wp:wrapSquare wrapText="largest"/><wp:docPr id="2" name="Image2"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Image2" descr=""></pic:cNvPr><pic:cNvPicPr><a:picLocks noChangeAspect="1" noChangeArrowheads="1"/></pic:cNvPicPr></pic:nvPicPr><pic:blipFill><a:blip r:embed="rId5"></a:blip><a:stretch><a:fillRect/></a:stretch></pic:blipFill><pic:spPr bwMode="auto"><a:xfrm><a:off x="0" y="0"/><a:ext cx="4573270" cy="3625850"/></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Figure 1c : </w:t></w:r><w:r><w:rPr><w:rFonts w:ascii="DejaVu Sans" w:hAnsi="DejaVu Sans"/></w:rPr><w:t>Insert</w:t></w:r><w:r><w:rPr><w:rFonts w:ascii="DejaVu Sans" w:hAnsi="DejaVu Sans"/></w:rPr><w:t xml:space="preserve"> size distribution.   </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3"><wp:simplePos x="0" y="0"/><wp:positionH relativeFrom="column"><wp:posOffset>557530</wp:posOffset></wp:positionH><wp:positionV relativeFrom="paragraph"><wp:posOffset>4445</wp:posOffset></wp:positionV><wp:extent cx="5005070" cy="3588385"/><wp:effectExtent l="0" t="0" r="0" b="0"/><wp:wrapSquare wrapText="largest"/><wp:docPr id="3" name="Image3"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3" descr=""></pic:cNvPr><pic:cNvPicPr><a:picLocks noChangeAspect="1" noChangeArrowheads="1"/></pic:cNvPicPr></pic:nvPicPr><pic:blipFill><a:blip r:embed="rId6"></a:blip><a:stretch><a:fillRect/></a:stretch></pic:blipFill><pic:spPr bwMode="auto"><a:xfrm><a:off x="0" y="0"/><a:ext cx="5005070" cy="3588385"/></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1d : Genomic view of high peak calling score.</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mc:AlternateContent><mc:Choice Requires="wps"><w:drawing><wp:anchor behindDoc="0" distT="0" distB="0" distL="0" distR="0" simplePos="0" locked="0" layoutInCell="1" allowOverlap="1" relativeHeight="4"><wp:simplePos x="0" y="0"/><wp:positionH relativeFrom="column"><wp:posOffset>334645</wp:posOffset></wp:positionH><wp:positionV relativeFrom="paragraph"><wp:posOffset>72390</wp:posOffset></wp:positionV><wp:extent cx="5669280" cy="5669280"/><wp:effectExtent l="0" t="0" r="0" b="0"/><wp:wrapNone/><wp:docPr id="4" name="Forme2"/><a:graphic xmlns:a="http://schemas.openxmlformats.org/drawingml/2006/main"><a:graphicData uri="http://schemas.openxmlformats.org/drawingml/2006/picture"><pic:wsp><pic:cNvSpPr txBox="1"/><pic:spPr><a:xfrm><a:off x="0" y="0"/><a:ext cx="5668560" cy="5668560"/></a:xfrm><a:prstGeom prst="rect"><a:avLst/></a:prstGeom><a:blipFill rotWithShape="0"><a:blip r:embed="rId7"></a:blip><a:stretch><a:fillRect/></a:stretch></a:blipFill><a:ln><a:noFill/></a:ln></pic:spPr><pic:txbx><w:txbxContent><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txbxContent></pic:txbx><pic:bodyPr lIns="90000" rIns="90000" tIns="45000" bIns="45000" anchorCtr="1"><a:noAutofit/></pic:bodyPr></pic:wsp></a:graphicData></a:graphic></wp:anchor></w:drawing></mc:Choice><mc:Fallback><w:pict><v:rect id="shape_0" ID="Forme2" stroked="f" style="position:absolute;margin-left:26.35pt;margin-top:5.7pt;width:446.3pt;height:446.3pt"><v:textbox><w:txbxContent><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p><w:pPr><w:overflowPunct w:val="false"/><w:bidi w:val="0"/><w:spacing w:before="0" w:after="0" w:lineRule="auto" w:line="240"/><w:ind w:left="0" w:right="0" w:hanging="0"/><w:jc w:val="left"/><w:rPr></w:rPr></w:pPr><w:r><w:rPr><w:sz w:val="36"/><w:b w:val="false"/><w:u w:val="none"/><w:dstrike w:val="false"/><w:strike w:val="false"/><w:i w:val="false"/><w:outline w:val="false"/><w:shadow w:val="false"/><w:kern w:val="2"/><w:szCs w:val="36"/><w:bCs w:val="false"/><w:iCs w:val="false"/><w:em w:val="none"/><w:emboss w:val="false"/><w:imprint w:val="false"/><w:smallCaps w:val="false"/><w:caps w:val="false"/><w:rFonts w:ascii="Liberation Sans" w:hAnsi="Liberation Sans" w:eastAsia="Noto Sans CJK SC" w:cs="Lohit Devanagari"/><w:color w:val="auto"/></w:rPr></w:r></w:p></w:txbxContent></v:textbox><v:imagedata r:id="rId7" o:detectmouseclick="t"/><w10:wrap type="square"/><v:stroke color="#3465a4" joinstyle="round" endcap="flat"/></v:rect></w:pict></mc:Fallback></mc:AlternateConten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Figure 1e : </w:t></w:r><w:r><w:rPr><w:rFonts w:ascii="DejaVu Sans" w:hAnsi="DejaVu Sans"/></w:rPr><w:t xml:space="preserve">Distribution of ATAC-seq peak by sample. </w:t></w:r><w:r><w:rPr><w:rFonts w:ascii="DejaVu Sans" w:hAnsi="DejaVu Sans"/></w:rPr><w:t xml:space="preserve">We counted three situations :  </w:t></w:r><w:r><w:rPr><w:rFonts w:ascii="DejaVu Sans" w:hAnsi="DejaVu Sans"/></w:rPr><w:t xml:space="preserve">there are ATAC-seq peaks in </w:t></w:r><w:r><w:rPr><w:rFonts w:ascii="DejaVu Sans" w:hAnsi="DejaVu Sans"/></w:rPr><w:t>same regions in all samples (</w:t></w:r><w:r><w:rPr><w:rFonts w:ascii="DejaVu Sans" w:hAnsi="DejaVu Sans"/></w:rPr><w:t>Setdb1</w:t></w:r><w:r><w:rPr><w:rFonts w:ascii="DejaVu Sans" w:hAnsi="DejaVu Sans"/><w:vertAlign w:val="superscript"/></w:rPr><w:t>+/+</w:t></w:r><w:r><w:rPr><w:rFonts w:ascii="DejaVu Sans" w:hAnsi="DejaVu Sans"/></w:rPr><w:t xml:space="preserve"> (grey) </w:t></w:r><w:r><w:rPr><w:rFonts w:ascii="DejaVu Sans" w:hAnsi="DejaVu Sans"/></w:rPr><w:t xml:space="preserve">and </w:t></w:r><w:r><w:rPr><w:rFonts w:ascii="DejaVu Sans" w:hAnsi="DejaVu Sans"/></w:rPr><w:t>Setdb</w:t></w:r><w:r><w:rPr><w:rFonts w:ascii="DejaVu Sans" w:hAnsi="DejaVu Sans"/><w:vertAlign w:val="superscript"/></w:rPr><w:t>Δ/Δ</w:t></w:r><w:r><w:rPr><w:rFonts w:ascii="DejaVu Sans" w:hAnsi="DejaVu Sans"/></w:rPr><w:t xml:space="preserve"> </w:t></w:r><w:r><w:rPr><w:rFonts w:ascii="DejaVu Sans" w:hAnsi="DejaVu Sans"/></w:rPr><w:t xml:space="preserve">(blue and </w:t></w:r><w:r><w:rPr><w:rFonts w:ascii="DejaVu Sans" w:hAnsi="DejaVu Sans"/></w:rPr><w:t xml:space="preserve">blue stripe), only in </w:t></w:r><w:r><w:rPr><w:rFonts w:ascii="DejaVu Sans" w:hAnsi="DejaVu Sans"/></w:rPr><w:t>Setdb1</w:t></w:r><w:r><w:rPr><w:rFonts w:ascii="DejaVu Sans" w:hAnsi="DejaVu Sans"/><w:vertAlign w:val="superscript"/></w:rPr><w:t>+/+</w:t></w:r><w:r><w:rPr><w:rFonts w:ascii="DejaVu Sans" w:hAnsi="DejaVu Sans"/></w:rPr><w:t xml:space="preserve"> </w:t></w:r><w:r><w:rPr><w:rFonts w:ascii="DejaVu Sans" w:hAnsi="DejaVu Sans"/></w:rPr><w:t xml:space="preserve">samples and only in </w:t></w:r><w:r><w:rPr><w:rFonts w:ascii="DejaVu Sans" w:hAnsi="DejaVu Sans"/></w:rPr><w:t>Setdb</w:t></w:r><w:r><w:rPr><w:rFonts w:ascii="DejaVu Sans" w:hAnsi="DejaVu Sans"/><w:vertAlign w:val="superscript"/></w:rPr><w:t>Δ/Δ</w:t></w:r><w:r><w:rPr><w:rFonts w:ascii="DejaVu Sans" w:hAnsi="DejaVu Sans"/></w:rPr><w:t xml:space="preserve">. </w:t></w:r><w:r><w:rPr><w:rFonts w:ascii="DejaVu Sans" w:hAnsi="DejaVu Sans"/></w:rPr><w:t xml:space="preserve">~76 % of ATAC-seq peaks shared in same regions between all samples. ~ 6 % of ATAC-seq peaks are only present in </w:t></w:r><w:r><w:rPr><w:rFonts w:ascii="DejaVu Sans" w:hAnsi="DejaVu Sans"/></w:rPr><w:t>Setdb1</w:t></w:r><w:r><w:rPr><w:rFonts w:ascii="DejaVu Sans" w:hAnsi="DejaVu Sans"/><w:vertAlign w:val="superscript"/></w:rPr><w:t>+/+</w:t></w:r><w:r><w:rPr><w:rFonts w:ascii="DejaVu Sans" w:hAnsi="DejaVu Sans"/></w:rPr><w:t xml:space="preserve">. </w:t></w:r><w:r><w:rPr><w:rFonts w:ascii="DejaVu Sans" w:hAnsi="DejaVu Sans"/></w:rPr><w:t xml:space="preserve">~ 18 % of ATAC-seq peaks are only present in </w:t></w:r><w:r><w:rPr><w:rFonts w:ascii="DejaVu Sans" w:hAnsi="DejaVu Sans"/></w:rPr><w:t>Setdb</w:t></w:r><w:r><w:rPr><w:rFonts w:ascii="DejaVu Sans" w:hAnsi="DejaVu Sans"/><w:vertAlign w:val="superscript"/></w:rPr><w:t>Δ/Δ</w:t></w:r><w:r><w:rPr><w:rFonts w:ascii="DejaVu Sans" w:hAnsi="DejaVu Sans"/></w:rPr><w:t xml:space="preserve">. </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5"><wp:simplePos x="0" y="0"/><wp:positionH relativeFrom="column"><wp:align>center</wp:align></wp:positionH><wp:positionV relativeFrom="paragraph"><wp:posOffset>635</wp:posOffset></wp:positionV><wp:extent cx="6120130" cy="4707890"/><wp:effectExtent l="0" t="0" r="0" b="0"/><wp:wrapSquare wrapText="largest"/><wp:docPr id="5" name="Image4"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Image4" descr=""></pic:cNvPr><pic:cNvPicPr><a:picLocks noChangeAspect="1" noChangeArrowheads="1"/></pic:cNvPicPr></pic:nvPicPr><pic:blipFill><a:blip r:embed="rId8"></a:blip><a:stretch><a:fillRect/></a:stretch></pic:blipFill><pic:spPr bwMode="auto"><a:xfrm><a:off x="0" y="0"/><a:ext cx="6120130" cy="4707890"/></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2a : R</w:t></w:r><w:r><w:rPr><w:rFonts w:ascii="DejaVu Sans" w:hAnsi="DejaVu Sans"/><w:i w:val="false"/><w:iCs w:val="false"/><w:position w:val="0"/><w:sz w:val="24"/><w:vertAlign w:val="baseline"/></w:rPr><w:t>elative abundance for each sample to each interested positions for all peaks annotations based to biotype genomic content</w:t></w:r></w:p><w:p><w:pPr><w:pStyle w:val="Normal"/><w:bidi w:val="0"/><w:jc w:val="left"/><w:rPr><w:rFonts w:ascii="DejaVu Sans" w:hAnsi="DejaVu Sans"/></w:rPr></w:pPr><w:r><w:rPr><w:rFonts w:ascii="DejaVu Sans" w:hAnsi="DejaVu Sans"/></w:rPr><w:drawing><wp:anchor behindDoc="0" distT="0" distB="0" distL="0" distR="0" simplePos="0" locked="0" layoutInCell="1" allowOverlap="1" relativeHeight="6"><wp:simplePos x="0" y="0"/><wp:positionH relativeFrom="column"><wp:align>center</wp:align></wp:positionH><wp:positionV relativeFrom="paragraph"><wp:posOffset>635</wp:posOffset></wp:positionV><wp:extent cx="5828030" cy="4476750"/><wp:effectExtent l="0" t="0" r="0" b="0"/><wp:wrapSquare wrapText="largest"/><wp:docPr id="6" name="Image5"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 name="Image5" descr=""></pic:cNvPr><pic:cNvPicPr><a:picLocks noChangeAspect="1" noChangeArrowheads="1"/></pic:cNvPicPr></pic:nvPicPr><pic:blipFill><a:blip r:embed="rId9"></a:blip><a:stretch><a:fillRect/></a:stretch></pic:blipFill><pic:spPr bwMode="auto"><a:xfrm><a:off x="0" y="0"/><a:ext cx="5828030" cy="4476750"/></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Figure 2b : </w:t></w:r><w:r><w:rPr><w:rFonts w:ascii="DejaVu Sans" w:hAnsi="DejaVu Sans"/></w:rPr><w:t xml:space="preserve">Width comparisons </w:t></w:r><w:r><w:rPr><w:rFonts w:ascii="DejaVu Sans" w:hAnsi="DejaVu Sans"/></w:rPr><w:t xml:space="preserve">containing nearest TE </w:t></w:r><w:r><w:rPr><w:rFonts w:ascii="DejaVu Sans" w:hAnsi="DejaVu Sans"/></w:rPr><w:t>between specific regions annotated Setdb1</w:t></w:r><w:r><w:rPr><w:rFonts w:ascii="DejaVu Sans" w:hAnsi="DejaVu Sans"/><w:vertAlign w:val="superscript"/></w:rPr><w:t xml:space="preserve">+/+ </w:t></w:r><w:r><w:rPr><w:rFonts w:ascii="DejaVu Sans" w:hAnsi="DejaVu Sans"/><w:position w:val="0"/><w:sz w:val="24"/><w:vertAlign w:val="baseline"/></w:rPr><w:t xml:space="preserve">and </w:t></w:r><w:r><w:rPr><w:rFonts w:ascii="DejaVu Sans" w:hAnsi="DejaVu Sans"/><w:position w:val="0"/><w:sz w:val="24"/><w:vertAlign w:val="baseline"/></w:rPr><w:t>Setdb</w:t></w:r><w:r><w:rPr><w:rFonts w:ascii="DejaVu Sans" w:hAnsi="DejaVu Sans"/><w:vertAlign w:val="superscript"/></w:rPr><w:t>Δ/Δ</w:t></w:r><w:r><w:rPr><w:rFonts w:ascii="DejaVu Sans" w:hAnsi="DejaVu Sans"/><w:position w:val="0"/><w:sz w:val="24"/><w:vertAlign w:val="baseline"/></w:rPr><w:t xml:space="preserve">. </w:t></w:r><w:r><w:rPr><w:rFonts w:ascii="DejaVu Sans" w:hAnsi="DejaVu Sans"/><w:position w:val="0"/><w:sz w:val="24"/><w:vertAlign w:val="baseline"/></w:rPr><w:t xml:space="preserve">We selected only Promoters and Distal intergenic regions </w:t></w:r><w:r><w:rPr><w:rFonts w:ascii="DejaVu Sans" w:hAnsi="DejaVu Sans"/><w:position w:val="0"/><w:sz w:val="24"/><w:vertAlign w:val="baseline"/></w:rPr><w:t>and we plotted widths for each peak by nearest TE. Then, we did a t-test between conditions.</w:t></w:r></w:p><w:p><w:pPr><w:pStyle w:val="Normal"/><w:tabs><w:tab w:val="clear" w:pos="709"/><w:tab w:val="left" w:pos="2088" w:leader="none"/></w:tabs><w:bidi w:val="0"/><w:jc w:val="left"/><w:rPr><w:position w:val="0"/><w:sz w:val="24"/><w:vertAlign w:val="baseline"/></w:rPr></w:pPr><w:r><w:rPr><w:rFonts w:ascii="DejaVu Sans" w:hAnsi="DejaVu Sans"/></w:rPr></w:r></w:p><w:p><w:pPr><w:pStyle w:val="Normal"/><w:bidi w:val="0"/><w:jc w:val="left"/><w:rPr><w:position w:val="0"/><w:sz w:val="24"/><w:vertAlign w:val="baseline"/></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8"><wp:simplePos x="0" y="0"/><wp:positionH relativeFrom="column"><wp:posOffset>133350</wp:posOffset></wp:positionH><wp:positionV relativeFrom="paragraph"><wp:posOffset>5715</wp:posOffset></wp:positionV><wp:extent cx="5469255" cy="4201160"/><wp:effectExtent l="0" t="0" r="0" b="0"/><wp:wrapSquare wrapText="largest"/><wp:docPr id="7" name="Image6"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7" name="Image6" descr=""></pic:cNvPr><pic:cNvPicPr><a:picLocks noChangeAspect="1" noChangeArrowheads="1"/></pic:cNvPicPr></pic:nvPicPr><pic:blipFill><a:blip r:embed="rId10"></a:blip><a:stretch><a:fillRect/></a:stretch></pic:blipFill><pic:spPr bwMode="auto"><a:xfrm><a:off x="0" y="0"/><a:ext cx="5469255" cy="4201160"/></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Figure 2c : </w:t></w:r><w:r><w:rPr><w:rFonts w:ascii="DejaVu Sans" w:hAnsi="DejaVu Sans"/></w:rPr><w:t xml:space="preserve">Enrichment of TSS and CpG islands </w:t></w:r><w:r><w:rPr><w:rFonts w:ascii="DejaVu Sans" w:hAnsi="DejaVu Sans"/></w:rPr><w:t>(CGI)</w:t></w:r><w:r><w:rPr><w:rFonts w:ascii="DejaVu Sans" w:hAnsi="DejaVu Sans"/></w:rPr><w:t xml:space="preserve">. </w:t></w:r><w:r><w:rPr><w:rFonts w:ascii="DejaVu Sans" w:hAnsi="DejaVu Sans"/></w:rPr><w:t>Cluster</w:t></w:r><w:r><w:rPr><w:rFonts w:ascii="DejaVu Sans" w:hAnsi="DejaVu Sans"/></w:rPr><w:t>s</w:t></w:r><w:r><w:rPr><w:rFonts w:ascii="DejaVu Sans" w:hAnsi="DejaVu Sans"/></w:rPr><w:t xml:space="preserve"> 1 and 2 </w:t></w:r><w:r><w:rPr><w:rFonts w:ascii="DejaVu Sans" w:hAnsi="DejaVu Sans"/></w:rPr><w:t>contains high value upstream TSS and around CGI regions. Clusters 3 and 4 contains low value upstream TSS and around CGI regions. TSS and CGI differences (third and fifth heatmap) are difference between Setdb1</w:t></w:r><w:r><w:rPr><w:rFonts w:ascii="DejaVu Sans" w:hAnsi="DejaVu Sans"/><w:vertAlign w:val="superscript"/></w:rPr><w:t>+/+</w:t></w:r><w:r><w:rPr><w:rFonts w:ascii="DejaVu Sans" w:hAnsi="DejaVu Sans"/><w:position w:val="0"/><w:sz w:val="24"/><w:vertAlign w:val="baseline"/></w:rPr><w:t xml:space="preserve"> and Setdb1</w:t></w:r><w:r><w:rPr><w:rFonts w:ascii="DejaVu Sans" w:hAnsi="DejaVu Sans"/><w:vertAlign w:val="superscript"/></w:rPr><w:t xml:space="preserve">Δ/Δ </w:t></w:r><w:r><w:rPr><w:rFonts w:ascii="DejaVu Sans" w:hAnsi="DejaVu Sans"/><w:position w:val="0"/><w:sz w:val="24"/><w:vertAlign w:val="baseline"/></w:rPr><w:t>conditions.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9"><wp:simplePos x="0" y="0"/><wp:positionH relativeFrom="column"><wp:align>center</wp:align></wp:positionH><wp:positionV relativeFrom="paragraph"><wp:posOffset>635</wp:posOffset></wp:positionV><wp:extent cx="6120130" cy="3455670"/><wp:effectExtent l="0" t="0" r="0" b="0"/><wp:wrapSquare wrapText="largest"/><wp:docPr id="8" name="Image7"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8" name="Image7" descr=""></pic:cNvPr><pic:cNvPicPr><a:picLocks noChangeAspect="1" noChangeArrowheads="1"/></pic:cNvPicPr></pic:nvPicPr><pic:blipFill><a:blip r:embed="rId11"></a:blip><a:stretch><a:fillRect/></a:stretch></pic:blipFill><pic:spPr bwMode="auto"><a:xfrm><a:off x="0" y="0"/><a:ext cx="6120130" cy="3455670"/></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u w:val="single"/></w:rPr></w:pPr><w:r><w:rPr><w:rFonts w:ascii="DejaVu Sans" w:hAnsi="DejaVu Sans"/><w:u w:val="single"/></w:rPr><w:t>Figure 3 :</w:t></w:r><w:r><w:rPr><w:rFonts w:ascii="DejaVu Sans" w:hAnsi="DejaVu Sans"/><w:u w:val="none"/></w:rPr><w:t xml:space="preserve"> Differential accessibility analysis. A : unsupervised clustering on replicates and conditions. B : PCA and UMAP representation of replicates and samples. C : Volcanoplot </w:t></w:r><w:r><w:rPr><w:rFonts w:ascii="DejaVu Sans" w:hAnsi="DejaVu Sans"/><w:u w:val="none"/></w:rPr><w:t>Setdb1</w:t></w:r><w:r><w:rPr><w:rFonts w:ascii="DejaVu Sans" w:hAnsi="DejaVu Sans"/><w:u w:val="none"/><w:vertAlign w:val="superscript"/></w:rPr><w:t>Δ/Δ</w:t></w:r><w:r><w:rPr><w:rFonts w:ascii="DejaVu Sans" w:hAnsi="DejaVu Sans"/><w:position w:val="0"/><w:sz w:val="24"/><w:u w:val="none"/><w:vertAlign w:val="baseline"/></w:rPr><w:t xml:space="preserve"> </w:t></w:r><w:r><w:rPr><w:rFonts w:ascii="DejaVu Sans" w:hAnsi="DejaVu Sans"/><w:position w:val="0"/><w:sz w:val="24"/><w:u w:val="none"/><w:vertAlign w:val="baseline"/></w:rPr><w:t xml:space="preserve">vs </w:t></w:r><w:r><w:rPr><w:rFonts w:ascii="DejaVu Sans" w:hAnsi="DejaVu Sans"/><w:position w:val="0"/><w:sz w:val="24"/><w:u w:val="none"/><w:vertAlign w:val="baseline"/></w:rPr><w:t>Setdb1</w:t></w:r><w:r><w:rPr><w:rFonts w:ascii="DejaVu Sans" w:hAnsi="DejaVu Sans"/><w:u w:val="none"/><w:vertAlign w:val="superscript"/></w:rPr><w:t>+/+</w:t></w:r><w:r><w:rPr><w:rFonts w:ascii="DejaVu Sans" w:hAnsi="DejaVu Sans"/><w:position w:val="0"/><w:sz w:val="24"/><w:u w:val="none"/><w:vertAlign w:val="baseline"/></w:rPr><w:t xml:space="preserve">. </w:t></w:r><w:r><w:rPr><w:rFonts w:ascii="DejaVu Sans" w:hAnsi="DejaVu Sans"/><w:position w:val="0"/><w:sz w:val="24"/><w:u w:val="none"/><w:vertAlign w:val="baseline"/></w:rPr><w:t xml:space="preserve">D : MAplot </w:t></w:r><w:r><w:rPr><w:rFonts w:ascii="DejaVu Sans" w:hAnsi="DejaVu Sans"/><w:position w:val="0"/><w:sz w:val="24"/><w:u w:val="none"/><w:vertAlign w:val="baseline"/></w:rPr><w:t>Setdb1</w:t></w:r><w:r><w:rPr><w:rFonts w:ascii="DejaVu Sans" w:hAnsi="DejaVu Sans"/><w:u w:val="none"/><w:vertAlign w:val="superscript"/></w:rPr><w:t>Δ/Δ</w:t></w:r><w:r><w:rPr><w:rFonts w:ascii="DejaVu Sans" w:hAnsi="DejaVu Sans"/><w:position w:val="0"/><w:sz w:val="24"/><w:u w:val="none"/><w:vertAlign w:val="baseline"/></w:rPr><w:t xml:space="preserve"> </w:t></w:r><w:r><w:rPr><w:rFonts w:ascii="DejaVu Sans" w:hAnsi="DejaVu Sans"/><w:position w:val="0"/><w:sz w:val="24"/><w:u w:val="none"/><w:vertAlign w:val="baseline"/></w:rPr><w:t xml:space="preserve">vs </w:t></w:r><w:r><w:rPr><w:rFonts w:ascii="DejaVu Sans" w:hAnsi="DejaVu Sans"/><w:position w:val="0"/><w:sz w:val="24"/><w:u w:val="none"/><w:vertAlign w:val="baseline"/></w:rPr><w:t>Setdb1</w:t></w:r><w:r><w:rPr><w:rFonts w:ascii="DejaVu Sans" w:hAnsi="DejaVu Sans"/><w:u w:val="none"/><w:vertAlign w:val="superscript"/></w:rPr><w:t>+/+</w:t></w:r><w:r><w:rPr><w:rFonts w:ascii="DejaVu Sans" w:hAnsi="DejaVu Sans"/><w:position w:val="0"/><w:sz w:val="24"/><w:u w:val="none"/><w:vertAlign w:val="baseline"/></w:rPr><w:t xml:space="preserve">. </w:t></w:r><w:r><w:rPr><w:rFonts w:ascii="DejaVu Sans" w:hAnsi="DejaVu Sans"/><w:position w:val="0"/><w:sz w:val="24"/><w:u w:val="none"/><w:vertAlign w:val="baseline"/></w:rPr><w:t>E : Distribution of deregulated open regions.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10"><wp:simplePos x="0" y="0"/><wp:positionH relativeFrom="column"><wp:align>center</wp:align></wp:positionH><wp:positionV relativeFrom="paragraph"><wp:posOffset>635</wp:posOffset></wp:positionV><wp:extent cx="6120130" cy="4079875"/><wp:effectExtent l="0" t="0" r="0" b="0"/><wp:wrapSquare wrapText="largest"/><wp:docPr id="9" name="Image8"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 name="Image8" descr=""></pic:cNvPr><pic:cNvPicPr><a:picLocks noChangeAspect="1" noChangeArrowheads="1"/></pic:cNvPicPr></pic:nvPicPr><pic:blipFill><a:blip r:embed="rId12"></a:blip><a:stretch><a:fillRect/></a:stretch></pic:blipFill><pic:spPr bwMode="auto"><a:xfrm><a:off x="0" y="0"/><a:ext cx="6120130" cy="4079875"/></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Figure 3b : Z-score normalized count on open region </w:t></w:r><w:r><w:rPr><w:rFonts w:ascii="DejaVu Sans" w:hAnsi="DejaVu Sans"/><w:u w:val="none"/></w:rPr><w:t>Setdb1</w:t></w:r><w:r><w:rPr><w:rFonts w:ascii="DejaVu Sans" w:hAnsi="DejaVu Sans"/><w:u w:val="none"/><w:vertAlign w:val="superscript"/></w:rPr><w:t>Δ/Δ</w:t></w:r><w:r><w:rPr><w:rFonts w:ascii="DejaVu Sans" w:hAnsi="DejaVu Sans"/><w:position w:val="0"/><w:sz w:val="24"/><w:u w:val="none"/><w:vertAlign w:val="baseline"/></w:rPr><w:t xml:space="preserve"> </w:t></w:r><w:r><w:rPr><w:rFonts w:ascii="DejaVu Sans" w:hAnsi="DejaVu Sans"/><w:position w:val="0"/><w:sz w:val="24"/><w:u w:val="none"/><w:vertAlign w:val="baseline"/></w:rPr><w:t xml:space="preserve">vs </w:t></w:r><w:r><w:rPr><w:rFonts w:ascii="DejaVu Sans" w:hAnsi="DejaVu Sans"/><w:position w:val="0"/><w:sz w:val="24"/><w:u w:val="none"/><w:vertAlign w:val="baseline"/></w:rPr><w:t>Setdb1</w:t></w:r><w:r><w:rPr><w:rFonts w:ascii="DejaVu Sans" w:hAnsi="DejaVu Sans"/><w:u w:val="none"/><w:vertAlign w:val="superscript"/></w:rPr><w:t xml:space="preserve">+/+ </w:t></w:r><w:r><w:rPr><w:rFonts w:ascii="DejaVu Sans" w:hAnsi="DejaVu Sans"/><w:position w:val="0"/><w:sz w:val="24"/><w:u w:val="none"/><w:vertAlign w:val="baseline"/></w:rPr><w:t>associated with deregulated information (Log2FC), if open-region is shared by all samples (Both) or only one (</w:t></w:r><w:r><w:rPr><w:rFonts w:ascii="DejaVu Sans" w:hAnsi="DejaVu Sans"/><w:position w:val="0"/><w:sz w:val="24"/><w:u w:val="none"/><w:vertAlign w:val="baseline"/></w:rPr><w:t>Setdb1</w:t></w:r><w:r><w:rPr><w:rFonts w:ascii="DejaVu Sans" w:hAnsi="DejaVu Sans"/><w:u w:val="none"/><w:vertAlign w:val="superscript"/></w:rPr><w:t>Δ/Δ</w:t></w:r><w:r><w:rPr><w:rFonts w:ascii="DejaVu Sans" w:hAnsi="DejaVu Sans"/><w:position w:val="0"/><w:sz w:val="24"/><w:u w:val="none"/><w:vertAlign w:val="baseline"/></w:rPr><w:t xml:space="preserve">, </w:t></w:r><w:r><w:rPr><w:rFonts w:ascii="DejaVu Sans" w:hAnsi="DejaVu Sans"/><w:position w:val="0"/><w:sz w:val="24"/><w:u w:val="none"/><w:vertAlign w:val="baseline"/></w:rPr><w:t>Setdb1</w:t></w:r><w:r><w:rPr><w:rFonts w:ascii="DejaVu Sans" w:hAnsi="DejaVu Sans"/><w:u w:val="none"/><w:vertAlign w:val="superscript"/></w:rPr><w:t>+/+</w:t></w:r><w:r><w:rPr><w:rFonts w:ascii="DejaVu Sans" w:hAnsi="DejaVu Sans"/><w:position w:val="0"/><w:sz w:val="24"/><w:u w:val="none"/><w:vertAlign w:val="baseline"/></w:rPr><w:t>), nearest TE of open-region and the distance between center of open-region and nearest TSS.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drawing><wp:anchor behindDoc="0" distT="0" distB="0" distL="0" distR="0" simplePos="0" locked="0" layoutInCell="1" allowOverlap="1" relativeHeight="11"><wp:simplePos x="0" y="0"/><wp:positionH relativeFrom="column"><wp:posOffset>381000</wp:posOffset></wp:positionH><wp:positionV relativeFrom="paragraph"><wp:posOffset>42545</wp:posOffset></wp:positionV><wp:extent cx="6120130" cy="4702175"/><wp:effectExtent l="0" t="0" r="0" b="0"/><wp:wrapSquare wrapText="largest"/><wp:docPr id="10" name="Image9" descr=""></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 name="Image9" descr=""></pic:cNvPr><pic:cNvPicPr><a:picLocks noChangeAspect="1" noChangeArrowheads="1"/></pic:cNvPicPr></pic:nvPicPr><pic:blipFill><a:blip r:embed="rId13"></a:blip><a:stretch><a:fillRect/></a:stretch></pic:blipFill><pic:spPr bwMode="auto"><a:xfrm><a:off x="0" y="0"/><a:ext cx="6120130" cy="4702175"/></a:xfrm><a:prstGeom prst="rect"><a:avLst/></a:prstGeom></pic:spPr></pic:pic></a:graphicData></a:graphic></wp:anchor></w:drawing></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4a : Enrichment of peaks over ERV1. Top : best ERV1 class with best coverage. Bottom : Clustering of peak enrichment over ERV1 by K-means.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mc:AlternateContent><mc:Choice Requires="wpg"><w:drawing><wp:anchor behindDoc="0" distT="0" distB="0" distL="0" distR="0" simplePos="0" locked="0" layoutInCell="1" allowOverlap="1" relativeHeight="12"><wp:simplePos x="0" y="0"/><wp:positionH relativeFrom="column"><wp:posOffset>0</wp:posOffset></wp:positionH><wp:positionV relativeFrom="paragraph"><wp:posOffset>635</wp:posOffset></wp:positionV><wp:extent cx="6604635" cy="6480175"/><wp:effectExtent l="0" t="0" r="0" b="0"/><wp:wrapNone/><wp:docPr id="11" name="Forme1"/><a:graphic xmlns:a="http://schemas.openxmlformats.org/drawingml/2006/main"><a:graphicData uri="http://schemas.microsoft.com/office/word/2010/wordprocessingGroup"><wpg:wgp><wpg:cNvGrpSpPr/><wpg:grpSpPr><a:xfrm><a:off x="0" y="0"/><a:ext cx="6603840" cy="6479640"/></a:xfrm></wpg:grpSpPr><pic:pic xmlns:pic="http://schemas.openxmlformats.org/drawingml/2006/picture"><pic:nvPicPr><pic:cNvPr id="0" name="" descr=""></pic:cNvPr><pic:cNvPicPr/></pic:nvPicPr><pic:blipFill><a:blip r:embed="rId14"></a:blip><a:stretch/></pic:blipFill><pic:spPr><a:xfrm><a:off x="0" y="0"/><a:ext cx="6603840" cy="3301200"/></a:xfrm><a:prstGeom prst="rect"><a:avLst/></a:prstGeom><a:ln><a:noFill/></a:ln></pic:spPr></pic:pic><pic:pic xmlns:pic="http://schemas.openxmlformats.org/drawingml/2006/picture"><pic:nvPicPr><pic:cNvPr id="1" name="" descr=""></pic:cNvPr><pic:cNvPicPr/></pic:nvPicPr><pic:blipFill><a:blip r:embed="rId15"></a:blip><a:stretch/></pic:blipFill><pic:spPr><a:xfrm><a:off x="71640" y="3312000"/><a:ext cx="6335280" cy="3167280"/></a:xfrm><a:prstGeom prst="rect"><a:avLst/></a:prstGeom><a:ln><a:noFill/></a:ln></pic:spPr></pic:pic></wpg:wgp></a:graphicData></a:graphic></wp:anchor></w:drawing></mc:Choice><mc:Fallback><w:pict><v:group id="shape_0" alt="Forme1" style="position:absolute;margin-left:0pt;margin-top:0pt;width:520pt;height:510.2pt" coordorigin="0,0" coordsize="10400,10204"><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v:shape id="shape_0" stroked="f" style="position:absolute;left:0;top:0;width:10399;height:5198" type="shapetype_75"><v:imagedata r:id="rId14" o:detectmouseclick="t"/><w10:wrap type="none"/><v:stroke color="#3465a4" joinstyle="round" endcap="flat"/></v:shape><v:shape id="shape_0" stroked="f" style="position:absolute;left:113;top:5216;width:9976;height:4987" type="shapetype_75"><v:imagedata r:id="rId15" o:detectmouseclick="t"/><w10:wrap type="none"/><v:stroke color="#3465a4" joinstyle="round" endcap="flat"/></v:shape></v:group></w:pict></mc:Fallback></mc:AlternateConten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4b : Enrichment of peaks over ERV1. Top : best ERVK class with best coverage. Bottom : Clustering of peak enrichment over ERVK by K-means.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mc:AlternateContent><mc:Choice Requires="wpg"><w:drawing><wp:anchor behindDoc="0" distT="0" distB="0" distL="0" distR="0" simplePos="0" locked="0" layoutInCell="1" allowOverlap="1" relativeHeight="13"><wp:simplePos x="0" y="0"/><wp:positionH relativeFrom="column"><wp:posOffset>-360045</wp:posOffset></wp:positionH><wp:positionV relativeFrom="paragraph"><wp:posOffset>-1755140</wp:posOffset></wp:positionV><wp:extent cx="6828790" cy="7745095"/><wp:effectExtent l="0" t="0" r="0" b="0"/><wp:wrapNone/><wp:docPr id="12" name="Forme3"/><a:graphic xmlns:a="http://schemas.openxmlformats.org/drawingml/2006/main"><a:graphicData uri="http://schemas.microsoft.com/office/word/2010/wordprocessingGroup"><wpg:wgp><wpg:cNvGrpSpPr/><wpg:grpSpPr><a:xfrm><a:off x="0" y="0"/><a:ext cx="6828120" cy="7744320"/></a:xfrm></wpg:grpSpPr><pic:pic xmlns:pic="http://schemas.openxmlformats.org/drawingml/2006/picture"><pic:nvPicPr><pic:cNvPr id="2" name="" descr=""></pic:cNvPr><pic:cNvPicPr/></pic:nvPicPr><pic:blipFill><a:blip r:embed="rId16"></a:blip><a:stretch/></pic:blipFill><pic:spPr><a:xfrm><a:off x="0" y="0"/><a:ext cx="6828120" cy="3841200"/></a:xfrm><a:prstGeom prst="rect"><a:avLst/></a:prstGeom><a:ln><a:noFill/></a:ln></pic:spPr></pic:pic><pic:pic xmlns:pic="http://schemas.openxmlformats.org/drawingml/2006/picture"><pic:nvPicPr><pic:cNvPr id="3" name="" descr=""></pic:cNvPr><pic:cNvPicPr/></pic:nvPicPr><pic:blipFill><a:blip r:embed="rId17"></a:blip><a:stretch/></pic:blipFill><pic:spPr><a:xfrm><a:off x="0" y="3903480"/><a:ext cx="6828120" cy="3841200"/></a:xfrm><a:prstGeom prst="rect"><a:avLst/></a:prstGeom><a:ln><a:noFill/></a:ln></pic:spPr></pic:pic></wpg:wgp></a:graphicData></a:graphic></wp:anchor></w:drawing></mc:Choice><mc:Fallback><w:pict><v:group id="shape_0" alt="Forme3" style="position:absolute;margin-left:-28.35pt;margin-top:-138.2pt;width:537.65pt;height:609.8pt" coordorigin="-567,-2764" coordsize="10753,12196"><v:shape id="shape_0" stroked="f" style="position:absolute;left:-567;top:-2764;width:10752;height:6048" type="shapetype_75"><v:imagedata r:id="rId16" o:detectmouseclick="t"/><w10:wrap type="none"/><v:stroke color="#3465a4" joinstyle="round" endcap="flat"/></v:shape><v:shape id="shape_0" stroked="f" style="position:absolute;left:-567;top:3383;width:10752;height:6048" type="shapetype_75"><v:imagedata r:id="rId17" o:detectmouseclick="t"/><w10:wrap type="none"/><v:stroke color="#3465a4" joinstyle="round" endcap="flat"/></v:shape></v:group></w:pict></mc:Fallback></mc:AlternateConten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Figure 4c : Enrichment of peaks over ERV1. Top : best ERVL class with best coverage. Bottom : Clustering of peak enrichment over ERVL by K-means.</w: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mc:AlternateContent><mc:Choice Requires="wpg"><w:drawing><wp:anchor behindDoc="0" distT="0" distB="0" distL="0" distR="0" simplePos="0" locked="0" layoutInCell="1" allowOverlap="1" relativeHeight="14"><wp:simplePos x="0" y="0"/><wp:positionH relativeFrom="column"><wp:posOffset>-720090</wp:posOffset></wp:positionH><wp:positionV relativeFrom="paragraph"><wp:posOffset>-1758950</wp:posOffset></wp:positionV><wp:extent cx="7560310" cy="8330565"/><wp:effectExtent l="0" t="0" r="0" b="0"/><wp:wrapNone/><wp:docPr id="13" name="Forme4"/><a:graphic xmlns:a="http://schemas.openxmlformats.org/drawingml/2006/main"><a:graphicData uri="http://schemas.microsoft.com/office/word/2010/wordprocessingGroup"><wpg:wgp><wpg:cNvGrpSpPr/><wpg:grpSpPr><a:xfrm><a:off x="0" y="0"/><a:ext cx="7559640" cy="8330040"/></a:xfrm></wpg:grpSpPr><pic:pic xmlns:pic="http://schemas.openxmlformats.org/drawingml/2006/picture"><pic:nvPicPr><pic:cNvPr id="4" name="" descr=""></pic:cNvPr><pic:cNvPicPr/></pic:nvPicPr><pic:blipFill><a:blip r:embed="rId18"></a:blip><a:stretch/></pic:blipFill><pic:spPr><a:xfrm><a:off x="0" y="0"/><a:ext cx="7441560" cy="4180680"/></a:xfrm><a:prstGeom prst="rect"><a:avLst/></a:prstGeom><a:ln><a:noFill/></a:ln></pic:spPr></pic:pic><pic:pic xmlns:pic="http://schemas.openxmlformats.org/drawingml/2006/picture"><pic:nvPicPr><pic:cNvPr id="5" name="" descr=""></pic:cNvPr><pic:cNvPicPr/></pic:nvPicPr><pic:blipFill><a:blip r:embed="rId19"></a:blip><a:stretch/></pic:blipFill><pic:spPr><a:xfrm><a:off x="117360" y="4148280"/><a:ext cx="7442280" cy="4181400"/></a:xfrm><a:prstGeom prst="rect"><a:avLst/></a:prstGeom><a:ln><a:noFill/></a:ln></pic:spPr></pic:pic></wpg:wgp></a:graphicData></a:graphic></wp:anchor></w:drawing></mc:Choice><mc:Fallback><w:pict><v:group id="shape_0" alt="Forme4" style="position:absolute;margin-left:-56.7pt;margin-top:-138.5pt;width:595.25pt;height:655.85pt" coordorigin="-1134,-2770" coordsize="11905,13117"><v:shape id="shape_0" stroked="f" style="position:absolute;left:-1134;top:-2770;width:11718;height:6583" type="shapetype_75"><v:imagedata r:id="rId18" o:detectmouseclick="t"/><w10:wrap type="none"/><v:stroke color="#3465a4" joinstyle="round" endcap="flat"/></v:shape><v:shape id="shape_0" stroked="f" style="position:absolute;left:-949;top:3763;width:11719;height:6584" type="shapetype_75"><v:imagedata r:id="rId19" o:detectmouseclick="t"/><w10:wrap type="none"/><v:stroke color="#3465a4" joinstyle="round" endcap="flat"/></v:shape></v:group></w:pict></mc:Fallback></mc:AlternateContent></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r></w:p><w:p><w:pPr><w:pStyle w:val="Normal"/><w:bidi w:val="0"/><w:jc w:val="left"/><w:rPr><w:rFonts w:ascii="DejaVu Sans" w:hAnsi="DejaVu Sans"/></w:rPr></w:pPr><w:r><w:rPr><w:rFonts w:ascii="DejaVu Sans" w:hAnsi="DejaVu Sans"/></w:rPr><w:t xml:space="preserve">a: </w:t></w:r><w:hyperlink r:id="rId20"><w:r><w:rPr><w:rStyle w:val="LienInternet"/><w:rFonts w:ascii="DejaVu Sans" w:hAnsi="DejaVu Sans"/></w:rPr><w:t>https://www.nature.com/articles/s41467-021-21583-9</w:t></w:r></w:hyperlink></w:p><w:p><w:pPr><w:pStyle w:val="Normal"/><w:bidi w:val="0"/><w:jc w:val="left"/><w:rPr><w:rFonts w:ascii="DejaVu Sans" w:hAnsi="DejaVu Sans"/></w:rPr></w:pPr><w:r><w:rPr><w:rFonts w:ascii="DejaVu Sans" w:hAnsi="DejaVu Sans"/></w:rPr><w:t xml:space="preserve">b: </w:t></w:r><w:hyperlink r:id="rId21"><w:r><w:rPr><w:rStyle w:val="LienInternet"/><w:rFonts w:ascii="DejaVu Sans" w:hAnsi="DejaVu Sans"/></w:rPr><w:t>https://genomebiology.biomedcentral.com/articles/10.1186/s13059-020-1929-3</w:t></w:r></w:hyperlink></w:p><w:p><w:pPr><w:pStyle w:val="Normal"/><w:bidi w:val="0"/><w:jc w:val="left"/><w:rPr><w:rFonts w:ascii="DejaVu Sans" w:hAnsi="DejaVu Sans"/></w:rPr></w:pPr><w:r><w:rPr><w:rFonts w:ascii="DejaVu Sans" w:hAnsi="DejaVu Sans"/></w:rPr><w:t>c: https://royalsocietypublishing.org/doi/10.1098/rsob.190116</w:t></w:r></w:p><w:p><w:pPr><w:pStyle w:val="Normal"/><w:bidi w:val="0"/><w:jc w:val="left"/><w:rPr></w:rPr></w:pPr><w:r><w:rPr><w:rFonts w:ascii="DejaVu Sans" w:hAnsi="DejaVu Sans"/></w:rPr><w:t xml:space="preserve">d: </w:t></w:r><w:hyperlink r:id="rId22" w:tgtFrame="_blank"><w:r><w:rPr><w:rStyle w:val="LienInternet"/><w:rFonts w:ascii="DejaVu Sans" w:hAnsi="DejaVu Sans"/></w:rPr><w:t>10.1139/O10-139</w:t></w:r></w:hyperlink></w:p><w:p><w:pPr><w:pStyle w:val="Normal"/><w:bidi w:val="0"/><w:jc w:val="left"/><w:rPr><w:rFonts w:ascii="DejaVu Sans" w:hAnsi="DejaVu Sans"/></w:rPr></w:pPr><w:r><w:rPr><w:rFonts w:ascii="DejaVu Sans" w:hAnsi="DejaVu Sans"/></w:rPr></w:r></w:p><w:p><w:pPr><w:pStyle w:val="Normal"/><w:bidi w:val="0"/><w:jc w:val="left"/><w:rPr></w:rPr></w:pPr><w:r><w:rPr><w:rFonts w:ascii="DejaVu Sans" w:hAnsi="DejaVu Sans"/><w:vertAlign w:val="superscript"/></w:rPr><w:t>1</w:t></w:r><w:r><w:rPr><w:rFonts w:ascii="DejaVu Sans" w:hAnsi="DejaVu Sans"/><w:position w:val="0"/><w:sz w:val="24"/><w:vertAlign w:val="baseline"/></w:rPr><w:t xml:space="preserve">: </w:t></w:r><w:hyperlink r:id="rId23"><w:r><w:rPr><w:rStyle w:val="LienInternet"/><w:rFonts w:ascii="DejaVu Sans" w:hAnsi="DejaVu Sans"/><w:position w:val="0"/><w:sz w:val="24"/><w:vertAlign w:val="baseline"/></w:rPr><w:t>https://nf-co.re/atacseq</w:t></w:r></w:hyperlink><w:r><w:rPr><w:rFonts w:ascii="DejaVu Sans" w:hAnsi="DejaVu Sans"/><w:position w:val="0"/><w:sz w:val="24"/><w:vertAlign w:val="baseline"/></w:rPr><w:t xml:space="preserve">. DOI : </w:t></w:r><w:hyperlink r:id="rId24"><w:r><w:rPr><w:rStyle w:val="LienInternet"/><w:rFonts w:ascii="DejaVu Sans" w:hAnsi="DejaVu Sans"/><w:position w:val="0"/><w:sz w:val="24"/><w:vertAlign w:val="baseline"/></w:rPr><w:t>10.1038/s41587-020-0439-x</w:t></w:r></w:hyperlink></w:p><w:p><w:pPr><w:pStyle w:val="Normal"/><w:bidi w:val="0"/><w:jc w:val="left"/><w:rPr><w:rFonts w:ascii="DejaVu Sans" w:hAnsi="DejaVu Sans"/><w:vertAlign w:val="superscript"/></w:rPr></w:pPr><w:r><w:rPr><w:rFonts w:ascii="DejaVu Sans" w:hAnsi="DejaVu Sans"/><w:vertAlign w:val="superscript"/></w:rPr><w:t>2</w:t></w:r><w:r><w:rPr><w:rFonts w:ascii="DejaVu Sans" w:hAnsi="DejaVu Sans"/><w:position w:val="0"/><w:sz w:val="24"/><w:vertAlign w:val="baseline"/></w:rPr><w:t>: Trim Galore ! https://www.bioinformatics.babraham.ac.uk/projects/trim_galore/</w:t></w:r></w:p><w:p><w:pPr><w:pStyle w:val="Normal"/><w:bidi w:val="0"/><w:jc w:val="left"/><w:rPr></w:rPr></w:pPr><w:r><w:rPr><w:rFonts w:ascii="DejaVu Sans" w:hAnsi="DejaVu Sans"/><w:vertAlign w:val="superscript"/></w:rPr><w:t>3</w:t></w:r><w:r><w:rPr><w:rFonts w:ascii="DejaVu Sans" w:hAnsi="DejaVu Sans"/><w:position w:val="0"/><w:sz w:val="24"/><w:vertAlign w:val="baseline"/></w:rPr><w:t xml:space="preserve">: BWA </w:t></w:r><w:hyperlink r:id="rId25"><w:r><w:rPr><w:rStyle w:val="LienInternet"/><w:rFonts w:ascii="DejaVu Sans" w:hAnsi="DejaVu Sans"/><w:position w:val="0"/><w:sz w:val="24"/><w:vertAlign w:val="baseline"/></w:rPr><w:t>http://bio-bwa.sourceforge.net/</w:t></w:r></w:hyperlink><w:r><w:rPr><w:rFonts w:ascii="DejaVu Sans" w:hAnsi="DejaVu Sans"/><w:position w:val="0"/><w:sz w:val="24"/><w:vertAlign w:val="baseline"/></w:rPr><w:t xml:space="preserve"> DOI : </w:t></w:r><w:r><w:rPr><w:rFonts w:ascii="DejaVu Sans" w:hAnsi="DejaVu Sans"/><w:position w:val="0"/><w:sz w:val="24"/><w:vertAlign w:val="baseline"/></w:rPr><w:t>10.1093/bioinformatics/btp324</w:t></w:r></w:p><w:p><w:pPr><w:pStyle w:val="Normal"/><w:bidi w:val="0"/><w:jc w:val="left"/><w:rPr><w:rFonts w:ascii="DejaVu Sans" w:hAnsi="DejaVu Sans"/></w:rPr></w:pPr><w:r><w:rPr><w:rFonts w:ascii="DejaVu Sans" w:hAnsi="DejaVu Sans"/><w:vertAlign w:val="superscript"/></w:rPr><w:t>4</w:t></w:r><w:r><w:rPr><w:rFonts w:ascii="DejaVu Sans" w:hAnsi="DejaVu Sans"/><w:position w:val="0"/><w:sz w:val="24"/><w:vertAlign w:val="baseline"/></w:rPr><w:t xml:space="preserve">:  </w:t></w:r></w:p><w:p><w:pPr><w:pStyle w:val="Normal"/><w:numPr><w:ilvl w:val="0"/><w:numId w:val="2"/></w:numPr><w:bidi w:val="0"/><w:jc w:val="left"/><w:rPr></w:rPr></w:pPr><w:hyperlink r:id="rId26"><w:r><w:rPr><w:rStyle w:val="LienInternet"/><w:rFonts w:ascii="Liberation Mono" w:hAnsi="Liberation Mono" w:eastAsia="Noto Sans Mono CJK SC" w:cs="Liberation Mono"/><w:position w:val="0"/><w:sz w:val="24"/><w:vertAlign w:val="baseline"/></w:rPr><w:t>picard</w:t></w:r></w:hyperlink></w:p><w:p><w:pPr><w:pStyle w:val="Normal"/><w:numPr><w:ilvl w:val="0"/><w:numId w:val="2"/></w:numPr><w:bidi w:val="0"/><w:jc w:val="left"/><w:rPr></w:rPr></w:pPr><w:hyperlink r:id="rId27"><w:r><w:rPr><w:rStyle w:val="LienInternet"/><w:rFonts w:ascii="Liberation Mono" w:hAnsi="Liberation Mono" w:eastAsia="Noto Sans Mono CJK SC" w:cs="Liberation Mono"/><w:position w:val="0"/><w:sz w:val="24"/><w:vertAlign w:val="baseline"/></w:rPr><w:t>SAMtools</w:t></w:r></w:hyperlink><w:r><w:rPr><w:rFonts w:ascii="DejaVu Sans" w:hAnsi="DejaVu Sans"/><w:position w:val="0"/><w:sz w:val="24"/><w:vertAlign w:val="baseline"/></w:rPr><w:t xml:space="preserve">, </w:t></w:r><w:hyperlink r:id="rId28"><w:r><w:rPr><w:rStyle w:val="LienInternet"/><w:rFonts w:ascii="Liberation Mono" w:hAnsi="Liberation Mono" w:eastAsia="Noto Sans Mono CJK SC" w:cs="Liberation Mono"/><w:position w:val="0"/><w:sz w:val="24"/><w:vertAlign w:val="baseline"/></w:rPr><w:t>BEDTools</w:t></w:r></w:hyperlink><w:r><w:rPr><w:rFonts w:ascii="DejaVu Sans" w:hAnsi="DejaVu Sans"/><w:position w:val="0"/><w:sz w:val="24"/><w:vertAlign w:val="baseline"/></w:rPr><w:t xml:space="preserve">, </w:t></w:r><w:hyperlink r:id="rId29"><w:r><w:rPr><w:rStyle w:val="LienInternet"/><w:rFonts w:ascii="Liberation Mono" w:hAnsi="Liberation Mono" w:eastAsia="Noto Sans Mono CJK SC" w:cs="Liberation Mono"/><w:position w:val="0"/><w:sz w:val="24"/><w:vertAlign w:val="baseline"/></w:rPr><w:t>BAMTools</w:t></w:r></w:hyperlink></w:p><w:p><w:pPr><w:pStyle w:val="Normal"/><w:numPr><w:ilvl w:val="0"/><w:numId w:val="2"/></w:numPr><w:bidi w:val="0"/><w:jc w:val="left"/><w:rPr></w:rPr></w:pPr><w:hyperlink r:id="rId30"><w:r><w:rPr><w:rStyle w:val="LienInternet"/><w:rFonts w:ascii="Liberation Mono" w:hAnsi="Liberation Mono" w:eastAsia="Noto Sans Mono CJK SC" w:cs="Liberation Mono"/><w:position w:val="0"/><w:sz w:val="24"/><w:vertAlign w:val="baseline"/></w:rPr><w:t>Pysam</w:t></w:r></w:hyperlink></w:p><w:p><w:pPr><w:pStyle w:val="Normal"/><w:numPr><w:ilvl w:val="0"/><w:numId w:val="2"/></w:numPr><w:bidi w:val="0"/><w:jc w:val="left"/><w:rPr></w:rPr></w:pPr><w:hyperlink r:id="rId31"><w:r><w:rPr><w:rStyle w:val="LienInternet"/><w:rFonts w:ascii="Liberation Mono" w:hAnsi="Liberation Mono" w:eastAsia="Noto Sans Mono CJK SC" w:cs="Liberation Mono"/><w:position w:val="0"/><w:sz w:val="24"/><w:vertAlign w:val="baseline"/></w:rPr><w:t>Preseq</w:t></w:r></w:hyperlink></w:p><w:p><w:pPr><w:pStyle w:val="Normal"/><w:numPr><w:ilvl w:val="0"/><w:numId w:val="2"/></w:numPr><w:bidi w:val="0"/><w:jc w:val="left"/><w:rPr></w:rPr></w:pPr><w:hyperlink r:id="rId32"><w:r><w:rPr><w:rStyle w:val="LienInternet"/><w:rFonts w:ascii="Liberation Mono" w:hAnsi="Liberation Mono" w:eastAsia="Noto Sans Mono CJK SC" w:cs="Liberation Mono"/><w:position w:val="0"/><w:sz w:val="24"/><w:vertAlign w:val="baseline"/></w:rPr><w:t>bedGraphToBigWig</w:t></w:r></w:hyperlink></w:p><w:p><w:pPr><w:pStyle w:val="Normal"/><w:numPr><w:ilvl w:val="0"/><w:numId w:val="2"/></w:numPr><w:bidi w:val="0"/><w:jc w:val="left"/><w:rPr></w:rPr></w:pPr><w:hyperlink r:id="rId33"><w:r><w:rPr><w:rStyle w:val="LienInternet"/><w:rFonts w:ascii="Liberation Mono" w:hAnsi="Liberation Mono" w:eastAsia="Noto Sans Mono CJK SC" w:cs="Liberation Mono"/><w:position w:val="0"/><w:sz w:val="24"/><w:vertAlign w:val="baseline"/></w:rPr><w:t>MACS2</w:t></w:r></w:hyperlink></w:p><w:p><w:pPr><w:pStyle w:val="Normal"/><w:numPr><w:ilvl w:val="0"/><w:numId w:val="2"/></w:numPr><w:bidi w:val="0"/><w:jc w:val="left"/><w:rPr><w:rStyle w:val="Textesource"/><w:position w:val="0"/><w:sz w:val="24"/><w:vertAlign w:val="baseline"/></w:rPr></w:pPr><w:hyperlink r:id="rId34"><w:r><w:rPr><w:rStyle w:val="LienInternet"/><w:rFonts w:ascii="Liberation Mono" w:hAnsi="Liberation Mono" w:eastAsia="Noto Sans Mono CJK SC" w:cs="Liberation Mono"/><w:position w:val="0"/><w:sz w:val="24"/><w:vertAlign w:val="baseline"/></w:rPr><w:t>deepTools</w:t></w:r></w:hyperlink></w:p><w:p><w:pPr><w:pStyle w:val="Normal"/><w:bidi w:val="0"/><w:jc w:val="left"/><w:rPr></w:rPr></w:pPr><w:r><w:rPr><w:rFonts w:ascii="DejaVu Sans" w:hAnsi="DejaVu Sans"/><w:vertAlign w:val="superscript"/></w:rPr><w:t>5</w:t></w:r><w:r><w:rPr><w:rFonts w:ascii="DejaVu Sans" w:hAnsi="DejaVu Sans"/><w:position w:val="0"/><w:sz w:val="24"/><w:vertAlign w:val="baseline"/></w:rPr><w:t xml:space="preserve">: </w:t></w:r><w:hyperlink r:id="rId35"><w:r><w:rPr><w:rStyle w:val="LienInternet"/><w:rFonts w:ascii="Liberation Mono" w:hAnsi="Liberation Mono" w:eastAsia="Noto Sans Mono CJK SC" w:cs="Liberation Mono"/><w:position w:val="0"/><w:sz w:val="24"/><w:vertAlign w:val="baseline"/></w:rPr><w:t>HOMER</w:t></w:r></w:hyperlink><w:r><w:rPr><w:rStyle w:val="Textesource"/><w:rFonts w:ascii="DejaVu Sans" w:hAnsi="DejaVu Sans"/><w:position w:val="0"/><w:sz w:val="24"/><w:vertAlign w:val="baseline"/></w:rPr><w:t xml:space="preserve"> </w:t></w:r></w:p><w:p><w:pPr><w:pStyle w:val="Normal"/><w:bidi w:val="0"/><w:jc w:val="left"/><w:rPr></w:rPr></w:pPr><w:r><w:rPr><w:rFonts w:ascii="DejaVu Sans" w:hAnsi="DejaVu Sans"/><w:vertAlign w:val="superscript"/></w:rPr><w:t>6</w:t></w:r><w:r><w:rPr><w:rFonts w:ascii="DejaVu Sans" w:hAnsi="DejaVu Sans"/><w:position w:val="0"/><w:sz w:val="24"/><w:vertAlign w:val="baseline"/></w:rPr><w:t xml:space="preserve">: </w:t></w:r><w:hyperlink r:id="rId36"><w:r><w:rPr><w:rStyle w:val="LienInternet"/><w:rFonts w:ascii="Liberation Mono" w:hAnsi="Liberation Mono" w:eastAsia="Noto Sans Mono CJK SC" w:cs="Liberation Mono"/><w:position w:val="0"/><w:sz w:val="24"/><w:vertAlign w:val="baseline"/></w:rPr><w:t>featureCounts</w:t></w:r></w:hyperlink></w:p><w:p><w:pPr><w:pStyle w:val="Normal"/><w:bidi w:val="0"/><w:jc w:val="left"/><w:rPr></w:rPr></w:pPr><w:r><w:rPr><w:rStyle w:val="Textesource"/><w:rFonts w:ascii="DejaVu Sans" w:hAnsi="DejaVu Sans"/><w:vertAlign w:val="superscript"/></w:rPr><w:t>7</w:t></w:r><w:r><w:rPr><w:rStyle w:val="Textesource"/><w:rFonts w:ascii="DejaVu Sans" w:hAnsi="DejaVu Sans"/><w:position w:val="0"/><w:sz w:val="24"/><w:vertAlign w:val="baseline"/></w:rPr><w:t>:</w:t></w:r><w:hyperlink r:id="rId37"><w:r><w:rPr><w:rStyle w:val="LienInternet"/><w:rFonts w:ascii="Liberation Mono" w:hAnsi="Liberation Mono" w:eastAsia="Noto Sans Mono CJK SC" w:cs="Liberation Mono"/><w:position w:val="0"/><w:sz w:val="24"/><w:vertAlign w:val="baseline"/></w:rPr><w:t>ataqv</w:t></w:r></w:hyperlink><w:r><w:rPr><w:rStyle w:val="Textesource"/><w:rFonts w:ascii="DejaVu Sans" w:hAnsi="DejaVu Sans"/><w:position w:val="0"/><w:sz w:val="24"/><w:vertAlign w:val="baseline"/></w:rPr><w:t>,</w:t></w:r><w:hyperlink r:id="rId38"><w:r><w:rPr><w:rStyle w:val="LienInternet"/><w:rFonts w:ascii="Liberation Mono" w:hAnsi="Liberation Mono" w:eastAsia="Noto Sans Mono CJK SC" w:cs="Liberation Mono"/><w:position w:val="0"/><w:sz w:val="24"/><w:vertAlign w:val="baseline"/></w:rPr><w:t>MultiQC</w:t></w:r></w:hyperlink></w:p><w:p><w:pPr><w:pStyle w:val="Normal"/><w:bidi w:val="0"/><w:jc w:val="left"/><w:rPr></w:rPr></w:pPr><w:r><w:rPr><w:rStyle w:val="Textesource"/><w:rFonts w:ascii="DejaVu Sans" w:hAnsi="DejaVu Sans"/><w:vertAlign w:val="superscript"/></w:rPr><w:t>8</w:t></w:r><w:r><w:rPr><w:rStyle w:val="Textesource"/><w:rFonts w:ascii="DejaVu Sans" w:hAnsi="DejaVu Sans"/><w:position w:val="0"/><w:sz w:val="24"/><w:vertAlign w:val="baseline"/></w:rPr><w:t xml:space="preserve">: R, </w:t></w:r><w:hyperlink r:id="rId39"><w:r><w:rPr><w:rStyle w:val="LienInternet"/><w:rFonts w:ascii="Liberation Mono" w:hAnsi="Liberation Mono" w:eastAsia="Noto Sans Mono CJK SC" w:cs="Liberation Mono"/><w:position w:val="0"/><w:sz w:val="24"/><w:vertAlign w:val="baseline"/></w:rPr><w:t>DESeq2</w:t></w:r></w:hyperlink></w:p><w:sectPr><w:type w:val="nextPage"/><w:pgSz w:w="11906" w:h="16838"/><w:pgMar w:left="1134" w:right="1134" w:header="0" w:top="1134" w:footer="0" w:bottom="1134" w:gutter="0"/><w:pgNumType w:fmt="decimal"/><w:formProt w:val="false"/><w:textDirection w:val="lrTb"/></w:sectPr></w:body></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DejaVu Sans">
    <w:charset w:val="01"/>
    <w:family w:val="swiss"/>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Titre1"/>
      <w:numFmt w:val="none"/>
      <w:suff w:val="nothing"/>
      <w:lvlText w:val=""/>
      <w:lvlJc w:val="left"/>
      <w:pPr>
        <w:tabs>
          <w:tab w:val="num" w:pos="0"/>
        </w:tabs>
        <w:ind w:left="0" w:hanging="0"/>
      </w:pPr>
    </w:lvl>
    <w:lvl w:ilvl="1">
      <w:start w:val="1"/>
      <w:pStyle w:val="Titre2"/>
      <w:numFmt w:val="none"/>
      <w:suff w:val="nothing"/>
      <w:lvlText w:val=""/>
      <w:lvlJc w:val="left"/>
      <w:pPr>
        <w:tabs>
          <w:tab w:val="num" w:pos="0"/>
        </w:tabs>
        <w:ind w:left="0" w:hanging="0"/>
      </w:pPr>
    </w:lvl>
    <w:lvl w:ilvl="2">
      <w:start w:val="1"/>
      <w:pStyle w:val="Titre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 %1."/>
      <w:lvlJc w:val="left"/>
      <w:pPr>
        <w:tabs>
          <w:tab w:val="num" w:pos="720"/>
        </w:tabs>
        <w:ind w:left="720" w:hanging="360"/>
      </w:pPr>
    </w:lvl>
    <w:lvl w:ilvl="1">
      <w:start w:val="1"/>
      <w:numFmt w:val="decimal"/>
      <w:lvlText w:val=" %1.%2."/>
      <w:lvlJc w:val="left"/>
      <w:pPr>
        <w:tabs>
          <w:tab w:val="num" w:pos="1080"/>
        </w:tabs>
        <w:ind w:left="1080" w:hanging="360"/>
      </w:pPr>
    </w:lvl>
    <w:lvl w:ilvl="2">
      <w:start w:val="1"/>
      <w:numFmt w:val="lowerLetter"/>
      <w:lvlText w:val=" %3)"/>
      <w:lvlJc w:val="left"/>
      <w:pPr>
        <w:tabs>
          <w:tab w:val="num" w:pos="1440"/>
        </w:tabs>
        <w:ind w:left="1440" w:hanging="360"/>
      </w:p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96"/>
        </w:tabs>
        <w:ind w:left="796" w:hanging="360"/>
      </w:pPr>
      <w:rPr>
        <w:rFonts w:ascii="Symbol" w:hAnsi="Symbol" w:cs="Symbol" w:hint="default"/>
      </w:rPr>
    </w:lvl>
    <w:lvl w:ilvl="1">
      <w:start w:val="1"/>
      <w:numFmt w:val="bullet"/>
      <w:lvlText w:val="◦"/>
      <w:lvlJc w:val="left"/>
      <w:pPr>
        <w:tabs>
          <w:tab w:val="num" w:pos="1156"/>
        </w:tabs>
        <w:ind w:left="1156" w:hanging="360"/>
      </w:pPr>
      <w:rPr>
        <w:rFonts w:ascii="OpenSymbol" w:hAnsi="OpenSymbol" w:cs="OpenSymbol" w:hint="default"/>
      </w:rPr>
    </w:lvl>
    <w:lvl w:ilvl="2">
      <w:start w:val="1"/>
      <w:numFmt w:val="bullet"/>
      <w:lvlText w:val="▪"/>
      <w:lvlJc w:val="left"/>
      <w:pPr>
        <w:tabs>
          <w:tab w:val="num" w:pos="1516"/>
        </w:tabs>
        <w:ind w:left="1516" w:hanging="360"/>
      </w:pPr>
      <w:rPr>
        <w:rFonts w:ascii="OpenSymbol" w:hAnsi="OpenSymbol" w:cs="OpenSymbol" w:hint="default"/>
      </w:rPr>
    </w:lvl>
    <w:lvl w:ilvl="3">
      <w:start w:val="1"/>
      <w:numFmt w:val="bullet"/>
      <w:lvlText w:val=""/>
      <w:lvlJc w:val="left"/>
      <w:pPr>
        <w:tabs>
          <w:tab w:val="num" w:pos="1876"/>
        </w:tabs>
        <w:ind w:left="1876" w:hanging="360"/>
      </w:pPr>
      <w:rPr>
        <w:rFonts w:ascii="Symbol" w:hAnsi="Symbol" w:cs="Symbol" w:hint="default"/>
      </w:rPr>
    </w:lvl>
    <w:lvl w:ilvl="4">
      <w:start w:val="1"/>
      <w:numFmt w:val="bullet"/>
      <w:lvlText w:val="◦"/>
      <w:lvlJc w:val="left"/>
      <w:pPr>
        <w:tabs>
          <w:tab w:val="num" w:pos="2236"/>
        </w:tabs>
        <w:ind w:left="2236" w:hanging="360"/>
      </w:pPr>
      <w:rPr>
        <w:rFonts w:ascii="OpenSymbol" w:hAnsi="OpenSymbol" w:cs="OpenSymbol" w:hint="default"/>
      </w:rPr>
    </w:lvl>
    <w:lvl w:ilvl="5">
      <w:start w:val="1"/>
      <w:numFmt w:val="bullet"/>
      <w:lvlText w:val="▪"/>
      <w:lvlJc w:val="left"/>
      <w:pPr>
        <w:tabs>
          <w:tab w:val="num" w:pos="2596"/>
        </w:tabs>
        <w:ind w:left="2596" w:hanging="360"/>
      </w:pPr>
      <w:rPr>
        <w:rFonts w:ascii="OpenSymbol" w:hAnsi="OpenSymbol" w:cs="OpenSymbol" w:hint="default"/>
      </w:rPr>
    </w:lvl>
    <w:lvl w:ilvl="6">
      <w:start w:val="1"/>
      <w:numFmt w:val="bullet"/>
      <w:lvlText w:val=""/>
      <w:lvlJc w:val="left"/>
      <w:pPr>
        <w:tabs>
          <w:tab w:val="num" w:pos="2956"/>
        </w:tabs>
        <w:ind w:left="2956" w:hanging="360"/>
      </w:pPr>
      <w:rPr>
        <w:rFonts w:ascii="Symbol" w:hAnsi="Symbol" w:cs="Symbol" w:hint="default"/>
      </w:rPr>
    </w:lvl>
    <w:lvl w:ilvl="7">
      <w:start w:val="1"/>
      <w:numFmt w:val="bullet"/>
      <w:lvlText w:val="◦"/>
      <w:lvlJc w:val="left"/>
      <w:pPr>
        <w:tabs>
          <w:tab w:val="num" w:pos="3316"/>
        </w:tabs>
        <w:ind w:left="3316" w:hanging="360"/>
      </w:pPr>
      <w:rPr>
        <w:rFonts w:ascii="OpenSymbol" w:hAnsi="OpenSymbol" w:cs="OpenSymbol" w:hint="default"/>
      </w:rPr>
    </w:lvl>
    <w:lvl w:ilvl="8">
      <w:start w:val="1"/>
      <w:numFmt w:val="bullet"/>
      <w:lvlText w:val="▪"/>
      <w:lvlJc w:val="left"/>
      <w:pPr>
        <w:tabs>
          <w:tab w:val="num" w:pos="3676"/>
        </w:tabs>
        <w:ind w:left="3676"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fr-FR" w:eastAsia="zh-CN" w:bidi="hi-IN"/>
    </w:rPr>
  </w:style>
  <w:style w:type="paragraph" w:styleId="Titre1">
    <w:name w:val="Heading 1"/>
    <w:basedOn w:val="Titre"/>
    <w:next w:val="Corpsdetexte"/>
    <w:qFormat/>
    <w:pPr>
      <w:spacing w:before="240" w:after="120"/>
      <w:outlineLvl w:val="0"/>
    </w:pPr>
    <w:rPr>
      <w:rFonts w:ascii="Liberation Serif" w:hAnsi="Liberation Serif" w:eastAsia="Noto Serif CJK SC" w:cs="Lohit Devanagari"/>
      <w:b/>
      <w:bCs/>
      <w:sz w:val="48"/>
      <w:szCs w:val="48"/>
    </w:rPr>
  </w:style>
  <w:style w:type="paragraph" w:styleId="Titre2">
    <w:name w:val="Heading 2"/>
    <w:basedOn w:val="Titre"/>
    <w:next w:val="Corpsdetexte"/>
    <w:qFormat/>
    <w:pPr>
      <w:numPr>
        <w:ilvl w:val="1"/>
        <w:numId w:val="1"/>
      </w:numPr>
      <w:spacing w:before="200" w:after="120"/>
      <w:outlineLvl w:val="1"/>
    </w:pPr>
    <w:rPr>
      <w:b/>
      <w:bCs/>
      <w:sz w:val="32"/>
      <w:szCs w:val="32"/>
    </w:rPr>
  </w:style>
  <w:style w:type="paragraph" w:styleId="Titre3">
    <w:name w:val="Heading 3"/>
    <w:basedOn w:val="Titre"/>
    <w:next w:val="Corpsdetexte"/>
    <w:qFormat/>
    <w:pPr>
      <w:numPr>
        <w:ilvl w:val="2"/>
        <w:numId w:val="1"/>
      </w:numPr>
      <w:spacing w:before="140" w:after="120"/>
      <w:outlineLvl w:val="2"/>
    </w:pPr>
    <w:rPr>
      <w:b/>
      <w:bCs/>
      <w:sz w:val="28"/>
      <w:szCs w:val="28"/>
    </w:rPr>
  </w:style>
  <w:style w:type="character" w:styleId="LienInternet">
    <w:name w:val="Lien Internet"/>
    <w:rPr>
      <w:color w:val="000080"/>
      <w:u w:val="single"/>
      <w:lang w:val="zxx" w:eastAsia="zxx" w:bidi="zxx"/>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oto Sans Mono CJK SC" w:cs="Liberation Mono"/>
    </w:rPr>
  </w:style>
  <w:style w:type="character" w:styleId="Caractresdenumrotation">
    <w:name w:val="Caractères de numérotation"/>
    <w:qFormat/>
    <w:rPr/>
  </w:style>
  <w:style w:type="character" w:styleId="LienInternetvisit">
    <w:name w:val="Lien Internet visité"/>
    <w:rPr>
      <w:color w:val="800000"/>
      <w:u w:val="single"/>
      <w:lang w:val="zxx" w:eastAsia="zxx" w:bidi="zxx"/>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figure/Linker-DNa-length-variations-change-spacing-and-orientation-between-nucleosomes_fig1_230879604" TargetMode="External"/><Relationship Id="rId3" Type="http://schemas.openxmlformats.org/officeDocument/2006/relationships/hyperlink" Target="http://dx.doi.org/10.4161/nucl.22168"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yperlink" Target="https://www.nature.com/articles/s41467-021-21583-9" TargetMode="External"/><Relationship Id="rId21" Type="http://schemas.openxmlformats.org/officeDocument/2006/relationships/hyperlink" Target="https://genomebiology.biomedcentral.com/articles/10.1186/s13059-020-1929-3" TargetMode="External"/><Relationship Id="rId22" Type="http://schemas.openxmlformats.org/officeDocument/2006/relationships/hyperlink" Target="https://doi.org/10.1139%2FO10-139" TargetMode="External"/><Relationship Id="rId23" Type="http://schemas.openxmlformats.org/officeDocument/2006/relationships/hyperlink" Target="https://nf-co.re/atacseq" TargetMode="External"/><Relationship Id="rId24" Type="http://schemas.openxmlformats.org/officeDocument/2006/relationships/hyperlink" Target="https://dx.doi.org/10.1038/s41587-020-0439-x" TargetMode="External"/><Relationship Id="rId25" Type="http://schemas.openxmlformats.org/officeDocument/2006/relationships/hyperlink" Target="http://bio-bwa.sourceforge.net/" TargetMode="External"/><Relationship Id="rId26" Type="http://schemas.openxmlformats.org/officeDocument/2006/relationships/hyperlink" Target="https://broadinstitute.github.io/picard/" TargetMode="External"/><Relationship Id="rId27" Type="http://schemas.openxmlformats.org/officeDocument/2006/relationships/hyperlink" Target="https://sourceforge.net/projects/samtools/files/samtools/" TargetMode="External"/><Relationship Id="rId28" Type="http://schemas.openxmlformats.org/officeDocument/2006/relationships/hyperlink" Target="https://github.com/arq5x/bedtools2/" TargetMode="External"/><Relationship Id="rId29" Type="http://schemas.openxmlformats.org/officeDocument/2006/relationships/hyperlink" Target="https://github.com/pezmaster31/bamtools" TargetMode="External"/><Relationship Id="rId30" Type="http://schemas.openxmlformats.org/officeDocument/2006/relationships/hyperlink" Target="http://pysam.readthedocs.io/en/latest/installation.html" TargetMode="External"/><Relationship Id="rId31" Type="http://schemas.openxmlformats.org/officeDocument/2006/relationships/hyperlink" Target="http://smithlabresearch.org/software/preseq/" TargetMode="External"/><Relationship Id="rId32" Type="http://schemas.openxmlformats.org/officeDocument/2006/relationships/hyperlink" Target="http://hgdownload.soe.ucsc.edu/admin/exe/" TargetMode="External"/><Relationship Id="rId33" Type="http://schemas.openxmlformats.org/officeDocument/2006/relationships/hyperlink" Target="https://github.com/taoliu/MACS" TargetMode="External"/><Relationship Id="rId34" Type="http://schemas.openxmlformats.org/officeDocument/2006/relationships/hyperlink" Target="https://deeptools.readthedocs.io/en/develop/content/tools/plotFingerprint.html" TargetMode="External"/><Relationship Id="rId35" Type="http://schemas.openxmlformats.org/officeDocument/2006/relationships/hyperlink" Target="http://homer.ucsd.edu/homer/download.html" TargetMode="External"/><Relationship Id="rId36" Type="http://schemas.openxmlformats.org/officeDocument/2006/relationships/hyperlink" Target="http://bioinf.wehi.edu.au/featureCounts/" TargetMode="External"/><Relationship Id="rId37" Type="http://schemas.openxmlformats.org/officeDocument/2006/relationships/hyperlink" Target="https://github.com/ParkerLab/ataqv" TargetMode="External"/><Relationship Id="rId38" Type="http://schemas.openxmlformats.org/officeDocument/2006/relationships/hyperlink" Target="http://multiqc.info/" TargetMode="External"/><Relationship Id="rId39" Type="http://schemas.openxmlformats.org/officeDocument/2006/relationships/hyperlink" Target="https://bioconductor.org/packages/release/bioc/html/DESeq2.html" TargetMode="Externa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340</TotalTime>
  <Application>LibreOffice/6.4.7.2$Linux_X86_64 LibreOffice_project/40$Build-2</Application>
  <Pages>16</Pages>
  <Words>1245</Words>
  <Characters>7261</Characters>
  <CharactersWithSpaces>8447</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2022-06-27T10:08:15Z</dcterms:created>
  <dc:creator/>
  <dc:description/>
  <dc:language>fr-FR</dc:language>
  <cp:lastModifiedBy/>
  <dcterms:modified xsi:type="dcterms:W3CDTF">2022-07-01T16:24:44Z</dcterms:modified>
  <cp:revision>6</cp:revision>
  <dc:subject/>
  <dc:title/>
</cp:coreProperties>
</file>