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864F6" w14:textId="77777777" w:rsidR="004C74C5" w:rsidRPr="004C74C5" w:rsidRDefault="004C74C5" w:rsidP="004C74C5">
      <w:pPr>
        <w:jc w:val="both"/>
        <w:rPr>
          <w:lang w:val="en-US"/>
        </w:rPr>
      </w:pPr>
      <w:r w:rsidRPr="004C74C5">
        <w:rPr>
          <w:lang w:val="en-US"/>
        </w:rPr>
        <w:t>Delineating the role of SETDB1 methyltransferase for regulating muscle stem cell function</w:t>
      </w:r>
    </w:p>
    <w:p w14:paraId="3E861672" w14:textId="77777777" w:rsidR="004C74C5" w:rsidRPr="004C74C5" w:rsidRDefault="004C74C5" w:rsidP="004C74C5">
      <w:pPr>
        <w:jc w:val="both"/>
        <w:rPr>
          <w:lang w:val="en-US"/>
        </w:rPr>
      </w:pPr>
    </w:p>
    <w:p w14:paraId="3917FA24" w14:textId="77777777" w:rsidR="004C74C5" w:rsidRPr="004C74C5" w:rsidRDefault="004C74C5" w:rsidP="004C74C5">
      <w:pPr>
        <w:jc w:val="both"/>
      </w:pPr>
      <w:r w:rsidRPr="004C74C5">
        <w:t xml:space="preserve">Pauline Garcia1, Caroline Brun1, William Jarrassier1, Lorenzo Giordani2, Slimane Ait-Si-Ali3, Fabien Le Grand1 </w:t>
      </w:r>
    </w:p>
    <w:p w14:paraId="67E4120A" w14:textId="77777777" w:rsidR="004C74C5" w:rsidRPr="004C74C5" w:rsidRDefault="004C74C5" w:rsidP="004C74C5">
      <w:pPr>
        <w:jc w:val="both"/>
      </w:pPr>
    </w:p>
    <w:p w14:paraId="3394F71B" w14:textId="77777777" w:rsidR="004C74C5" w:rsidRPr="004C74C5" w:rsidRDefault="004C74C5" w:rsidP="004C74C5">
      <w:pPr>
        <w:jc w:val="both"/>
      </w:pPr>
      <w:r w:rsidRPr="004C74C5">
        <w:t>1)</w:t>
      </w:r>
      <w:r w:rsidRPr="004C74C5">
        <w:tab/>
        <w:t xml:space="preserve">Institut </w:t>
      </w:r>
      <w:proofErr w:type="spellStart"/>
      <w:r w:rsidRPr="004C74C5">
        <w:t>NeuroMyoGene</w:t>
      </w:r>
      <w:proofErr w:type="spellEnd"/>
      <w:r w:rsidRPr="004C74C5">
        <w:t xml:space="preserve"> (INMG-PGNM), CNRS/UCBL1 UMR5261 - Inserm U1315, Lyon, France</w:t>
      </w:r>
    </w:p>
    <w:p w14:paraId="74D888BE" w14:textId="77777777" w:rsidR="004C74C5" w:rsidRPr="004C74C5" w:rsidRDefault="004C74C5" w:rsidP="004C74C5">
      <w:pPr>
        <w:jc w:val="both"/>
      </w:pPr>
      <w:r w:rsidRPr="004C74C5">
        <w:t>2)</w:t>
      </w:r>
      <w:r w:rsidRPr="004C74C5">
        <w:tab/>
      </w:r>
      <w:proofErr w:type="spellStart"/>
      <w:r w:rsidRPr="004C74C5">
        <w:t>jk</w:t>
      </w:r>
      <w:proofErr w:type="spellEnd"/>
    </w:p>
    <w:p w14:paraId="3202DB3C" w14:textId="77777777" w:rsidR="004C74C5" w:rsidRPr="004C74C5" w:rsidRDefault="004C74C5" w:rsidP="004C74C5">
      <w:pPr>
        <w:jc w:val="both"/>
      </w:pPr>
      <w:r w:rsidRPr="004C74C5">
        <w:t>3)</w:t>
      </w:r>
      <w:r w:rsidRPr="004C74C5">
        <w:tab/>
      </w:r>
      <w:proofErr w:type="spellStart"/>
      <w:r w:rsidRPr="004C74C5">
        <w:t>Epigenetics</w:t>
      </w:r>
      <w:proofErr w:type="spellEnd"/>
      <w:r w:rsidRPr="004C74C5">
        <w:t xml:space="preserve"> and </w:t>
      </w:r>
      <w:proofErr w:type="spellStart"/>
      <w:r w:rsidRPr="004C74C5">
        <w:t>Cell</w:t>
      </w:r>
      <w:proofErr w:type="spellEnd"/>
      <w:r w:rsidRPr="004C74C5">
        <w:t xml:space="preserve"> Fate (EDC) </w:t>
      </w:r>
      <w:proofErr w:type="spellStart"/>
      <w:r w:rsidRPr="004C74C5">
        <w:t>department</w:t>
      </w:r>
      <w:proofErr w:type="spellEnd"/>
      <w:r w:rsidRPr="004C74C5">
        <w:t>, UMR7216, Centre National de la Recherche Scientifique (CNRS), Université de Paris, F-75013, Paris, France</w:t>
      </w:r>
    </w:p>
    <w:p w14:paraId="32A14A2A" w14:textId="77777777" w:rsidR="004C74C5" w:rsidRPr="004C74C5" w:rsidRDefault="004C74C5" w:rsidP="004C74C5">
      <w:pPr>
        <w:jc w:val="both"/>
      </w:pPr>
    </w:p>
    <w:p w14:paraId="70A6FE07" w14:textId="77777777" w:rsidR="004C74C5" w:rsidRPr="004C74C5" w:rsidRDefault="004C74C5" w:rsidP="004C74C5">
      <w:pPr>
        <w:jc w:val="both"/>
      </w:pPr>
    </w:p>
    <w:p w14:paraId="5C4D025A" w14:textId="11602A8A" w:rsidR="00B86C97" w:rsidRPr="00B566FA" w:rsidRDefault="00B86C97" w:rsidP="004C74C5">
      <w:pPr>
        <w:jc w:val="both"/>
      </w:pPr>
    </w:p>
    <w:p w14:paraId="314C9C91" w14:textId="631F3580" w:rsidR="00B86C97" w:rsidRPr="00B566FA" w:rsidRDefault="00B86C97" w:rsidP="004C74C5">
      <w:pPr>
        <w:jc w:val="both"/>
      </w:pPr>
    </w:p>
    <w:p w14:paraId="42186BE3" w14:textId="4B5E22FC" w:rsidR="00F46C68" w:rsidRDefault="00B86C97" w:rsidP="00B86C97">
      <w:pPr>
        <w:jc w:val="both"/>
        <w:rPr>
          <w:lang w:val="en-US"/>
        </w:rPr>
      </w:pPr>
      <w:r w:rsidRPr="004C74C5">
        <w:rPr>
          <w:lang w:val="en-US"/>
        </w:rPr>
        <w:t>Epigenetic regulation allowing muscle stem cell (</w:t>
      </w:r>
      <w:proofErr w:type="spellStart"/>
      <w:r w:rsidRPr="004C74C5">
        <w:rPr>
          <w:lang w:val="en-US"/>
        </w:rPr>
        <w:t>MuSC</w:t>
      </w:r>
      <w:proofErr w:type="spellEnd"/>
      <w:r w:rsidRPr="004C74C5">
        <w:rPr>
          <w:lang w:val="en-US"/>
        </w:rPr>
        <w:t>) progression into the myogenic lineage involves the H3K9 methyltransferase SETDB1 that controls chromatin compaction and gene transcriptional repression. Notably, we previously demonstrated that SETDB1 regulates differentiation in immortalized muscle cell line. A</w:t>
      </w:r>
      <w:r w:rsidR="00F46C68">
        <w:rPr>
          <w:lang w:val="en-US"/>
        </w:rPr>
        <w:t>s</w:t>
      </w:r>
      <w:r w:rsidRPr="004C74C5">
        <w:rPr>
          <w:lang w:val="en-US"/>
        </w:rPr>
        <w:t xml:space="preserve"> its role to control </w:t>
      </w:r>
      <w:proofErr w:type="spellStart"/>
      <w:r w:rsidRPr="004C74C5">
        <w:rPr>
          <w:lang w:val="en-US"/>
        </w:rPr>
        <w:t>MuSC</w:t>
      </w:r>
      <w:proofErr w:type="spellEnd"/>
      <w:r w:rsidRPr="004C74C5">
        <w:rPr>
          <w:lang w:val="en-US"/>
        </w:rPr>
        <w:t xml:space="preserve"> quiescence or proliferation remains unknown, </w:t>
      </w:r>
      <w:r w:rsidR="00F46C68">
        <w:rPr>
          <w:lang w:val="en-US"/>
        </w:rPr>
        <w:t>w</w:t>
      </w:r>
      <w:r w:rsidR="00F46C68" w:rsidRPr="004C74C5">
        <w:rPr>
          <w:lang w:val="en-US"/>
        </w:rPr>
        <w:t>e generated a conditional and inducible mouse model allowing the</w:t>
      </w:r>
      <w:r w:rsidR="00016115">
        <w:rPr>
          <w:lang w:val="en-US"/>
        </w:rPr>
        <w:t xml:space="preserve"> specific</w:t>
      </w:r>
      <w:r w:rsidR="00F46C68" w:rsidRPr="004C74C5">
        <w:rPr>
          <w:lang w:val="en-US"/>
        </w:rPr>
        <w:t xml:space="preserve"> deletion of Setdb1 in </w:t>
      </w:r>
      <w:proofErr w:type="spellStart"/>
      <w:r w:rsidR="00F46C68" w:rsidRPr="004C74C5">
        <w:rPr>
          <w:lang w:val="en-US"/>
        </w:rPr>
        <w:t>MuSCs</w:t>
      </w:r>
      <w:proofErr w:type="spellEnd"/>
      <w:r w:rsidR="00F46C68">
        <w:rPr>
          <w:lang w:val="en-US"/>
        </w:rPr>
        <w:t xml:space="preserve"> </w:t>
      </w:r>
      <w:r w:rsidR="00016115">
        <w:rPr>
          <w:lang w:val="en-US"/>
        </w:rPr>
        <w:t xml:space="preserve">and </w:t>
      </w:r>
      <w:r w:rsidR="00E87026" w:rsidRPr="004C74C5">
        <w:rPr>
          <w:lang w:val="en-US"/>
        </w:rPr>
        <w:t>undert</w:t>
      </w:r>
      <w:r w:rsidR="00016115">
        <w:rPr>
          <w:lang w:val="en-US"/>
        </w:rPr>
        <w:t>ook</w:t>
      </w:r>
      <w:r w:rsidR="00E87026">
        <w:rPr>
          <w:lang w:val="en-US"/>
        </w:rPr>
        <w:t xml:space="preserve"> </w:t>
      </w:r>
      <w:r w:rsidR="00F46C68" w:rsidRPr="004C74C5">
        <w:rPr>
          <w:lang w:val="en-US"/>
        </w:rPr>
        <w:t>the analysis of SETDB1</w:t>
      </w:r>
      <w:r w:rsidR="00F46C68">
        <w:rPr>
          <w:lang w:val="en-US"/>
        </w:rPr>
        <w:t xml:space="preserve"> </w:t>
      </w:r>
      <w:r w:rsidR="00F46C68" w:rsidRPr="004C74C5">
        <w:rPr>
          <w:lang w:val="en-US"/>
        </w:rPr>
        <w:t xml:space="preserve">for regulating </w:t>
      </w:r>
      <w:proofErr w:type="spellStart"/>
      <w:r w:rsidR="00F46C68" w:rsidRPr="004C74C5">
        <w:rPr>
          <w:lang w:val="en-US"/>
        </w:rPr>
        <w:t>MuSC</w:t>
      </w:r>
      <w:proofErr w:type="spellEnd"/>
      <w:r w:rsidR="00F46C68" w:rsidRPr="004C74C5">
        <w:rPr>
          <w:lang w:val="en-US"/>
        </w:rPr>
        <w:t xml:space="preserve"> function.</w:t>
      </w:r>
    </w:p>
    <w:p w14:paraId="7FE62324" w14:textId="5296CFE5" w:rsidR="00FB0859" w:rsidRPr="004C74C5" w:rsidRDefault="00F46C68" w:rsidP="00FB0859">
      <w:pPr>
        <w:jc w:val="both"/>
        <w:rPr>
          <w:lang w:val="en-US"/>
        </w:rPr>
      </w:pPr>
      <w:r w:rsidRPr="004C74C5">
        <w:rPr>
          <w:lang w:val="en-US"/>
        </w:rPr>
        <w:t xml:space="preserve">Remarkably, we showed that loss of SETDB1 dramatically impairs </w:t>
      </w:r>
      <w:proofErr w:type="spellStart"/>
      <w:r w:rsidRPr="004C74C5">
        <w:rPr>
          <w:lang w:val="en-US"/>
        </w:rPr>
        <w:t>MuSC</w:t>
      </w:r>
      <w:proofErr w:type="spellEnd"/>
      <w:r w:rsidRPr="004C74C5">
        <w:rPr>
          <w:lang w:val="en-US"/>
        </w:rPr>
        <w:t xml:space="preserve"> activation and proliferation and triggers cell death in both primary myoblasts and isolated myofibers. </w:t>
      </w:r>
      <w:r>
        <w:rPr>
          <w:lang w:val="en-US"/>
        </w:rPr>
        <w:t>G</w:t>
      </w:r>
      <w:r w:rsidRPr="004C74C5">
        <w:rPr>
          <w:lang w:val="en-US"/>
        </w:rPr>
        <w:t xml:space="preserve">ene expression analysis </w:t>
      </w:r>
      <w:r>
        <w:rPr>
          <w:lang w:val="en-US"/>
        </w:rPr>
        <w:t xml:space="preserve">performed on sorted </w:t>
      </w:r>
      <w:proofErr w:type="spellStart"/>
      <w:r w:rsidR="00016115">
        <w:rPr>
          <w:lang w:val="en-US"/>
        </w:rPr>
        <w:t>MuSCs</w:t>
      </w:r>
      <w:proofErr w:type="spellEnd"/>
      <w:r>
        <w:rPr>
          <w:lang w:val="en-US"/>
        </w:rPr>
        <w:t xml:space="preserve"> </w:t>
      </w:r>
      <w:r w:rsidRPr="004C74C5">
        <w:rPr>
          <w:lang w:val="en-US"/>
        </w:rPr>
        <w:t xml:space="preserve">revealed that </w:t>
      </w:r>
      <w:r>
        <w:rPr>
          <w:lang w:val="en-US"/>
        </w:rPr>
        <w:t xml:space="preserve">the conditional </w:t>
      </w:r>
      <w:r w:rsidRPr="004C74C5">
        <w:rPr>
          <w:lang w:val="en-US"/>
        </w:rPr>
        <w:t>knock</w:t>
      </w:r>
      <w:r>
        <w:rPr>
          <w:lang w:val="en-US"/>
        </w:rPr>
        <w:t>out of</w:t>
      </w:r>
      <w:r w:rsidRPr="004C74C5">
        <w:rPr>
          <w:lang w:val="en-US"/>
        </w:rPr>
        <w:t xml:space="preserve"> Setdb1 increases the expression of genes associated to apoptosis and cell cycle defect as well as the re-expression of transposable elements that mainly belong to the endogenous retrovirus (ERV)</w:t>
      </w:r>
      <w:r>
        <w:rPr>
          <w:lang w:val="en-US"/>
        </w:rPr>
        <w:t>.</w:t>
      </w:r>
      <w:r w:rsidR="00D120AB">
        <w:rPr>
          <w:lang w:val="en-US"/>
        </w:rPr>
        <w:t xml:space="preserve"> </w:t>
      </w:r>
      <w:r w:rsidRPr="004C74C5">
        <w:rPr>
          <w:lang w:val="en-US"/>
        </w:rPr>
        <w:t xml:space="preserve">As well, we are currently performing in vivo experiments using cardiotoxin-induced muscle injury to further evaluate the role of SETDB1 for controlling </w:t>
      </w:r>
      <w:proofErr w:type="spellStart"/>
      <w:r w:rsidRPr="004C74C5">
        <w:rPr>
          <w:lang w:val="en-US"/>
        </w:rPr>
        <w:t>MuSC</w:t>
      </w:r>
      <w:proofErr w:type="spellEnd"/>
      <w:r w:rsidRPr="004C74C5">
        <w:rPr>
          <w:lang w:val="en-US"/>
        </w:rPr>
        <w:t xml:space="preserve"> regenerative capacity</w:t>
      </w:r>
      <w:r w:rsidR="00FB0859">
        <w:rPr>
          <w:lang w:val="en-US"/>
        </w:rPr>
        <w:t xml:space="preserve">. </w:t>
      </w:r>
      <w:r w:rsidR="00016115">
        <w:rPr>
          <w:lang w:val="en-US"/>
        </w:rPr>
        <w:t>Our</w:t>
      </w:r>
      <w:r w:rsidR="00016115" w:rsidRPr="004C74C5">
        <w:rPr>
          <w:lang w:val="en-US"/>
        </w:rPr>
        <w:t xml:space="preserve"> </w:t>
      </w:r>
      <w:r w:rsidR="00016115">
        <w:rPr>
          <w:lang w:val="en-US"/>
        </w:rPr>
        <w:t>preliminary</w:t>
      </w:r>
      <w:r w:rsidR="00016115" w:rsidRPr="004C74C5">
        <w:rPr>
          <w:lang w:val="en-US"/>
        </w:rPr>
        <w:t xml:space="preserve"> </w:t>
      </w:r>
      <w:r w:rsidR="00016115">
        <w:rPr>
          <w:lang w:val="en-US"/>
        </w:rPr>
        <w:t>analysis</w:t>
      </w:r>
      <w:r w:rsidR="00016115" w:rsidRPr="004C74C5">
        <w:rPr>
          <w:lang w:val="en-US"/>
        </w:rPr>
        <w:t xml:space="preserve"> </w:t>
      </w:r>
      <w:r w:rsidR="00FB0859" w:rsidRPr="004C74C5">
        <w:rPr>
          <w:lang w:val="en-US"/>
        </w:rPr>
        <w:t>performed at 7</w:t>
      </w:r>
      <w:r w:rsidR="00D120AB">
        <w:rPr>
          <w:lang w:val="en-US"/>
        </w:rPr>
        <w:t xml:space="preserve"> </w:t>
      </w:r>
      <w:r w:rsidR="00FB0859" w:rsidRPr="004C74C5">
        <w:rPr>
          <w:lang w:val="en-US"/>
        </w:rPr>
        <w:t>d</w:t>
      </w:r>
      <w:r w:rsidR="00D120AB">
        <w:rPr>
          <w:lang w:val="en-US"/>
        </w:rPr>
        <w:t xml:space="preserve">ays </w:t>
      </w:r>
      <w:r w:rsidR="00FB0859" w:rsidRPr="004C74C5">
        <w:rPr>
          <w:lang w:val="en-US"/>
        </w:rPr>
        <w:t>p</w:t>
      </w:r>
      <w:r w:rsidR="00D120AB">
        <w:rPr>
          <w:lang w:val="en-US"/>
        </w:rPr>
        <w:t xml:space="preserve">ost </w:t>
      </w:r>
      <w:r w:rsidR="00FB0859" w:rsidRPr="004C74C5">
        <w:rPr>
          <w:lang w:val="en-US"/>
        </w:rPr>
        <w:t>i</w:t>
      </w:r>
      <w:r w:rsidR="00D120AB">
        <w:rPr>
          <w:lang w:val="en-US"/>
        </w:rPr>
        <w:t>njury</w:t>
      </w:r>
      <w:r w:rsidR="00FB0859" w:rsidRPr="004C74C5">
        <w:rPr>
          <w:lang w:val="en-US"/>
        </w:rPr>
        <w:t xml:space="preserve"> confirmed the essential role of SETDB1 for muscle regenerative capacity</w:t>
      </w:r>
      <w:r w:rsidR="00016115">
        <w:rPr>
          <w:lang w:val="en-US"/>
        </w:rPr>
        <w:t xml:space="preserve">, thus </w:t>
      </w:r>
      <w:r w:rsidR="00E87026">
        <w:rPr>
          <w:lang w:val="en-US"/>
        </w:rPr>
        <w:t>highlight</w:t>
      </w:r>
      <w:r w:rsidR="00016115">
        <w:rPr>
          <w:lang w:val="en-US"/>
        </w:rPr>
        <w:t>ing</w:t>
      </w:r>
      <w:r w:rsidR="00FB0859" w:rsidRPr="004C74C5">
        <w:rPr>
          <w:lang w:val="en-US"/>
        </w:rPr>
        <w:t xml:space="preserve"> the need to </w:t>
      </w:r>
      <w:r w:rsidR="00016115">
        <w:rPr>
          <w:lang w:val="en-US"/>
        </w:rPr>
        <w:t>explore</w:t>
      </w:r>
      <w:r w:rsidR="00016115" w:rsidRPr="004C74C5">
        <w:rPr>
          <w:lang w:val="en-US"/>
        </w:rPr>
        <w:t xml:space="preserve"> </w:t>
      </w:r>
      <w:r w:rsidR="00FB0859" w:rsidRPr="004C74C5">
        <w:rPr>
          <w:lang w:val="en-US"/>
        </w:rPr>
        <w:t>deeper the phenotype.</w:t>
      </w:r>
    </w:p>
    <w:p w14:paraId="2E474D27" w14:textId="3ADF05CD" w:rsidR="00F46C68" w:rsidRDefault="00F46C68" w:rsidP="00B86C97">
      <w:pPr>
        <w:jc w:val="both"/>
        <w:rPr>
          <w:lang w:val="en-US"/>
        </w:rPr>
      </w:pPr>
    </w:p>
    <w:p w14:paraId="20582898" w14:textId="77777777" w:rsidR="00F46C68" w:rsidRDefault="00F46C68" w:rsidP="00B86C97">
      <w:pPr>
        <w:jc w:val="both"/>
        <w:rPr>
          <w:lang w:val="en-US"/>
        </w:rPr>
      </w:pPr>
    </w:p>
    <w:p w14:paraId="3F544CA3" w14:textId="77777777" w:rsidR="00B86C97" w:rsidRPr="004C74C5" w:rsidRDefault="00B86C97" w:rsidP="004C74C5">
      <w:pPr>
        <w:jc w:val="both"/>
        <w:rPr>
          <w:lang w:val="en-US"/>
        </w:rPr>
      </w:pPr>
    </w:p>
    <w:sectPr w:rsidR="00B86C97" w:rsidRPr="004C74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4C5"/>
    <w:rsid w:val="00016115"/>
    <w:rsid w:val="00180660"/>
    <w:rsid w:val="004C74C5"/>
    <w:rsid w:val="00692A54"/>
    <w:rsid w:val="00B566FA"/>
    <w:rsid w:val="00B86C97"/>
    <w:rsid w:val="00D120AB"/>
    <w:rsid w:val="00E87026"/>
    <w:rsid w:val="00F46C68"/>
    <w:rsid w:val="00FB08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BEF7"/>
  <w15:chartTrackingRefBased/>
  <w15:docId w15:val="{649DB39C-CF15-804C-9845-772BDEBD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016115"/>
    <w:rPr>
      <w:sz w:val="16"/>
      <w:szCs w:val="16"/>
    </w:rPr>
  </w:style>
  <w:style w:type="paragraph" w:styleId="Commentaire">
    <w:name w:val="annotation text"/>
    <w:basedOn w:val="Normal"/>
    <w:link w:val="CommentaireCar"/>
    <w:uiPriority w:val="99"/>
    <w:semiHidden/>
    <w:unhideWhenUsed/>
    <w:rsid w:val="00016115"/>
    <w:rPr>
      <w:sz w:val="20"/>
      <w:szCs w:val="20"/>
    </w:rPr>
  </w:style>
  <w:style w:type="character" w:customStyle="1" w:styleId="CommentaireCar">
    <w:name w:val="Commentaire Car"/>
    <w:basedOn w:val="Policepardfaut"/>
    <w:link w:val="Commentaire"/>
    <w:uiPriority w:val="99"/>
    <w:semiHidden/>
    <w:rsid w:val="00016115"/>
    <w:rPr>
      <w:sz w:val="20"/>
      <w:szCs w:val="20"/>
    </w:rPr>
  </w:style>
  <w:style w:type="paragraph" w:styleId="Objetducommentaire">
    <w:name w:val="annotation subject"/>
    <w:basedOn w:val="Commentaire"/>
    <w:next w:val="Commentaire"/>
    <w:link w:val="ObjetducommentaireCar"/>
    <w:uiPriority w:val="99"/>
    <w:semiHidden/>
    <w:unhideWhenUsed/>
    <w:rsid w:val="00016115"/>
    <w:rPr>
      <w:b/>
      <w:bCs/>
    </w:rPr>
  </w:style>
  <w:style w:type="character" w:customStyle="1" w:styleId="ObjetducommentaireCar">
    <w:name w:val="Objet du commentaire Car"/>
    <w:basedOn w:val="CommentaireCar"/>
    <w:link w:val="Objetducommentaire"/>
    <w:uiPriority w:val="99"/>
    <w:semiHidden/>
    <w:rsid w:val="00016115"/>
    <w:rPr>
      <w:b/>
      <w:bCs/>
      <w:sz w:val="20"/>
      <w:szCs w:val="20"/>
    </w:rPr>
  </w:style>
  <w:style w:type="paragraph" w:styleId="Textedebulles">
    <w:name w:val="Balloon Text"/>
    <w:basedOn w:val="Normal"/>
    <w:link w:val="TextedebullesCar"/>
    <w:uiPriority w:val="99"/>
    <w:semiHidden/>
    <w:unhideWhenUsed/>
    <w:rsid w:val="00016115"/>
    <w:rPr>
      <w:rFonts w:ascii="Segoe UI" w:hAnsi="Segoe UI" w:cs="Segoe UI"/>
      <w:sz w:val="18"/>
      <w:szCs w:val="18"/>
    </w:rPr>
  </w:style>
  <w:style w:type="character" w:customStyle="1" w:styleId="TextedebullesCar">
    <w:name w:val="Texte de bulles Car"/>
    <w:basedOn w:val="Policepardfaut"/>
    <w:link w:val="Textedebulles"/>
    <w:uiPriority w:val="99"/>
    <w:semiHidden/>
    <w:rsid w:val="00016115"/>
    <w:rPr>
      <w:rFonts w:ascii="Segoe UI" w:hAnsi="Segoe UI" w:cs="Segoe UI"/>
      <w:sz w:val="18"/>
      <w:szCs w:val="18"/>
    </w:rPr>
  </w:style>
  <w:style w:type="paragraph" w:styleId="Rvision">
    <w:name w:val="Revision"/>
    <w:hidden/>
    <w:uiPriority w:val="99"/>
    <w:semiHidden/>
    <w:rsid w:val="00B56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283</Words>
  <Characters>1562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2022-02-23T18:54:00Z</dcterms:created>
  <dcterms:modified xsi:type="dcterms:W3CDTF">2022-02-23T18:54:00Z</dcterms:modified>
</cp:coreProperties>
</file>