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wmf" ContentType="image/x-wmf"/>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1"/>
        <w:rPr/>
      </w:pPr>
      <w:r>
        <w:rPr>
          <w:rStyle w:val="Strong"/>
          <w:b/>
          <w:bCs w:val="false"/>
        </w:rPr>
        <w:t>Results</w:t>
      </w:r>
    </w:p>
    <w:p>
      <w:pPr>
        <w:pStyle w:val="Titre2"/>
        <w:rPr>
          <w:rStyle w:val="Strong"/>
          <w:b/>
          <w:b/>
          <w:bCs w:val="false"/>
        </w:rPr>
      </w:pPr>
      <w:r>
        <w:rPr>
          <w:rStyle w:val="Strong"/>
          <w:b/>
          <w:bCs w:val="false"/>
        </w:rPr>
        <w:t>Single cell RNA-sequencing data</w:t>
      </w:r>
    </w:p>
    <w:p>
      <w:pPr>
        <w:pStyle w:val="Normal"/>
        <w:ind w:hanging="0"/>
        <w:rPr/>
      </w:pPr>
      <w:r>
        <w:rPr/>
        <w:t xml:space="preserve">To prolife cell-type composition of B6.wt, B6.mdx, D2.wt and D2.mdx muscles, we performed single cell RNA-sequencing (sc RNAseq) on freshly FACS (fluorescence-activated cell sorting)-isolated cells from </w:t>
      </w:r>
      <w:r>
        <w:rPr>
          <w:i/>
          <w:iCs/>
        </w:rPr>
        <w:t>gastrocnemius</w:t>
      </w:r>
      <w:r>
        <w:rPr/>
        <w:t xml:space="preserve"> muscles dissected from 6-week-old male mice for each genotype.</w:t>
      </w:r>
    </w:p>
    <w:p>
      <w:pPr>
        <w:pStyle w:val="Normal"/>
        <w:ind w:hanging="0"/>
        <w:rPr/>
      </w:pPr>
      <w:r>
        <w:rPr>
          <w:highlight w:val="yellow"/>
        </w:rPr>
        <w:t>Filtration control, doublet and ambient RNA removal, gene features, (average number of genes expressed per cell)</w:t>
      </w:r>
    </w:p>
    <w:p>
      <w:pPr>
        <w:pStyle w:val="Normal"/>
        <w:ind w:hanging="0"/>
        <w:rPr/>
      </w:pPr>
      <w:r>
        <w:rPr/>
        <w:t>Data demultiplexed in fastq format was checked with fastqc and fastq_screen to control quality sequencing. Sequencing reads were processed with STAR (v.2.7.</w:t>
      </w:r>
      <w:r>
        <w:rPr>
          <w:lang w:val="en-US"/>
        </w:rPr>
        <w:t>11b</w:t>
      </w:r>
      <w:r>
        <w:rPr/>
        <w:t xml:space="preserve">) to align and count data for each sample with conservation of rRNA during process. </w:t>
      </w:r>
      <w:r>
        <w:rPr/>
        <w:t>Genome and transcriptome used is GRCm39.111 from Ensembl Database.</w:t>
      </w:r>
      <w:r>
        <w:rPr/>
        <w:t xml:space="preserve"> We counts pre-mRNA overlap gene loci included both exonic and intronic reads where priority is purely exonic alignment (</w:t>
      </w:r>
      <w:r>
        <w:rPr>
          <w:i/>
          <w:iCs/>
        </w:rPr>
        <w:t>GeneFull_ExonOverIntron option</w:t>
      </w:r>
      <w:r>
        <w:rPr>
          <w:i w:val="false"/>
          <w:iCs w:val="false"/>
        </w:rPr>
        <w:t>)</w:t>
      </w:r>
      <w:r>
        <w:rPr/>
        <w:t xml:space="preserve"> and spiced, unspliced and ambiguous counts per cell similar to the velocyto.py (</w:t>
      </w:r>
      <w:r>
        <w:rPr>
          <w:i/>
          <w:iCs/>
        </w:rPr>
        <w:t xml:space="preserve">Velocyto </w:t>
      </w:r>
      <w:r>
        <w:rPr>
          <w:i w:val="false"/>
          <w:iCs w:val="false"/>
        </w:rPr>
        <w:t xml:space="preserve">option). </w:t>
      </w:r>
      <w:r>
        <w:rPr>
          <w:i w:val="false"/>
          <w:iCs w:val="false"/>
        </w:rPr>
        <w:t xml:space="preserve">We used output reads statistics </w:t>
      </w:r>
      <w:r>
        <w:rPr>
          <w:i w:val="false"/>
          <w:iCs w:val="false"/>
        </w:rPr>
        <w:t>(</w:t>
      </w:r>
      <w:r>
        <w:rPr>
          <w:i/>
          <w:iCs/>
        </w:rPr>
        <w:t xml:space="preserve">--soloCellReadStats Standard) </w:t>
      </w:r>
      <w:r>
        <w:rPr>
          <w:i w:val="false"/>
          <w:iCs w:val="false"/>
        </w:rPr>
        <w:t>for each barcode to build our filter thresholds by sample. First, we filtered only barcode where genomeU metrics &gt; 1 and nGenesUnique =&gt; 200. Second, we determined the different elbow point</w:t>
      </w:r>
      <w:r>
        <w:rPr>
          <w:i w:val="false"/>
          <w:iCs w:val="false"/>
        </w:rPr>
        <w:t>s</w:t>
      </w:r>
      <w:r>
        <w:rPr>
          <w:i w:val="false"/>
          <w:iCs w:val="false"/>
        </w:rPr>
        <w:t xml:space="preserve"> along different metrics density by sample with </w:t>
      </w:r>
      <w:r>
        <w:rPr>
          <w:i/>
          <w:iCs/>
        </w:rPr>
        <w:t>akmedois::elbow_point</w:t>
      </w:r>
      <w:r>
        <w:rPr>
          <w:i w:val="false"/>
          <w:iCs w:val="false"/>
        </w:rPr>
        <w:t xml:space="preserve"> R function and we selected the minimum of value when the point is tag</w:t>
      </w:r>
      <w:r>
        <w:rPr>
          <w:i w:val="false"/>
          <w:iCs w:val="false"/>
        </w:rPr>
        <w:t>ged</w:t>
      </w:r>
      <w:r>
        <w:rPr>
          <w:i w:val="false"/>
          <w:iCs w:val="false"/>
        </w:rPr>
        <w:t xml:space="preserve"> “minimum”. At final, tab.1 summarize these thresholds metrics by sample :</w:t>
      </w:r>
    </w:p>
    <w:tbl>
      <w:tblPr>
        <w:tblW w:w="9072" w:type="dxa"/>
        <w:jc w:val="left"/>
        <w:tblInd w:w="0" w:type="dxa"/>
        <w:tblCellMar>
          <w:top w:w="0" w:type="dxa"/>
          <w:left w:w="0" w:type="dxa"/>
          <w:bottom w:w="0" w:type="dxa"/>
          <w:right w:w="0" w:type="dxa"/>
        </w:tblCellMar>
      </w:tblPr>
      <w:tblGrid>
        <w:gridCol w:w="1814"/>
        <w:gridCol w:w="1814"/>
        <w:gridCol w:w="1815"/>
        <w:gridCol w:w="1814"/>
        <w:gridCol w:w="1815"/>
      </w:tblGrid>
      <w:tr>
        <w:trPr/>
        <w:tc>
          <w:tcPr>
            <w:tcW w:w="1814" w:type="dxa"/>
            <w:tcBorders/>
          </w:tcPr>
          <w:p>
            <w:pPr>
              <w:pStyle w:val="Contenudetableau"/>
              <w:suppressLineNumbers/>
              <w:spacing w:before="0" w:after="160"/>
              <w:rPr/>
            </w:pPr>
            <w:r>
              <w:rPr/>
            </w:r>
          </w:p>
        </w:tc>
        <w:tc>
          <w:tcPr>
            <w:tcW w:w="1814" w:type="dxa"/>
            <w:tcBorders/>
          </w:tcPr>
          <w:p>
            <w:pPr>
              <w:pStyle w:val="Contenudetableau"/>
              <w:suppressLineNumbers/>
              <w:spacing w:before="0" w:after="160"/>
              <w:rPr/>
            </w:pPr>
            <w:r>
              <w:rPr/>
              <w:t>genomeU*</w:t>
            </w:r>
          </w:p>
        </w:tc>
        <w:tc>
          <w:tcPr>
            <w:tcW w:w="1815" w:type="dxa"/>
            <w:tcBorders/>
          </w:tcPr>
          <w:p>
            <w:pPr>
              <w:pStyle w:val="Contenudetableau"/>
              <w:suppressLineNumbers/>
              <w:spacing w:before="0" w:after="160"/>
              <w:rPr/>
            </w:pPr>
            <w:r>
              <w:rPr/>
              <w:t>featureU**</w:t>
            </w:r>
          </w:p>
        </w:tc>
        <w:tc>
          <w:tcPr>
            <w:tcW w:w="1814" w:type="dxa"/>
            <w:tcBorders/>
          </w:tcPr>
          <w:p>
            <w:pPr>
              <w:pStyle w:val="Contenudetableau"/>
              <w:suppressLineNumbers/>
              <w:spacing w:before="0" w:after="160"/>
              <w:rPr/>
            </w:pPr>
            <w:r>
              <w:rPr/>
              <w:t>% mitochondrial (mito/genomeU)</w:t>
            </w:r>
          </w:p>
        </w:tc>
        <w:tc>
          <w:tcPr>
            <w:tcW w:w="1815" w:type="dxa"/>
            <w:tcBorders/>
          </w:tcPr>
          <w:p>
            <w:pPr>
              <w:pStyle w:val="Contenudetableau"/>
              <w:suppressLineNumbers/>
              <w:spacing w:before="0" w:after="160"/>
              <w:rPr/>
            </w:pPr>
            <w:r>
              <w:rPr/>
              <w:t>ReadsTotal (genomeU/cbPerfect***)</w:t>
            </w:r>
          </w:p>
        </w:tc>
      </w:tr>
      <w:tr>
        <w:trPr/>
        <w:tc>
          <w:tcPr>
            <w:tcW w:w="1814" w:type="dxa"/>
            <w:tcBorders/>
          </w:tcPr>
          <w:p>
            <w:pPr>
              <w:pStyle w:val="Contenudetableau"/>
              <w:suppressLineNumbers/>
              <w:spacing w:before="0" w:after="160"/>
              <w:rPr/>
            </w:pPr>
            <w:r>
              <w:rPr/>
              <w:t>D2-mdx</w:t>
            </w:r>
          </w:p>
        </w:tc>
        <w:tc>
          <w:tcPr>
            <w:tcW w:w="1814" w:type="dxa"/>
            <w:tcBorders/>
          </w:tcPr>
          <w:p>
            <w:pPr>
              <w:pStyle w:val="Contenudetableau"/>
              <w:suppressLineNumbers/>
              <w:spacing w:before="0" w:after="160"/>
              <w:rPr/>
            </w:pPr>
            <w:r>
              <w:rPr/>
              <w:t>1</w:t>
            </w:r>
            <w:r>
              <w:rPr>
                <w:lang w:val="en-US"/>
              </w:rPr>
              <w:t>4905</w:t>
            </w:r>
          </w:p>
        </w:tc>
        <w:tc>
          <w:tcPr>
            <w:tcW w:w="1815" w:type="dxa"/>
            <w:tcBorders/>
          </w:tcPr>
          <w:p>
            <w:pPr>
              <w:pStyle w:val="Contenudetableau"/>
              <w:suppressLineNumbers/>
              <w:spacing w:before="0" w:after="160"/>
              <w:rPr/>
            </w:pPr>
            <w:r>
              <w:rPr/>
              <w:t>13024.14</w:t>
            </w:r>
          </w:p>
        </w:tc>
        <w:tc>
          <w:tcPr>
            <w:tcW w:w="1814" w:type="dxa"/>
            <w:tcBorders/>
          </w:tcPr>
          <w:p>
            <w:pPr>
              <w:pStyle w:val="Contenudetableau"/>
              <w:suppressLineNumbers/>
              <w:spacing w:before="0" w:after="160"/>
              <w:rPr/>
            </w:pPr>
            <w:r>
              <w:rPr/>
              <w:t>12</w:t>
            </w:r>
          </w:p>
        </w:tc>
        <w:tc>
          <w:tcPr>
            <w:tcW w:w="1815" w:type="dxa"/>
            <w:tcBorders/>
          </w:tcPr>
          <w:p>
            <w:pPr>
              <w:pStyle w:val="Contenudetableau"/>
              <w:suppressLineNumbers/>
              <w:spacing w:before="0" w:after="160"/>
              <w:rPr/>
            </w:pPr>
            <w:r>
              <w:rPr/>
              <w:t>0.39</w:t>
            </w:r>
          </w:p>
        </w:tc>
      </w:tr>
      <w:tr>
        <w:trPr/>
        <w:tc>
          <w:tcPr>
            <w:tcW w:w="1814" w:type="dxa"/>
            <w:tcBorders/>
          </w:tcPr>
          <w:p>
            <w:pPr>
              <w:pStyle w:val="Contenudetableau"/>
              <w:suppressLineNumbers/>
              <w:spacing w:before="0" w:after="160"/>
              <w:rPr/>
            </w:pPr>
            <w:r>
              <w:rPr/>
              <w:t>D2-wt</w:t>
            </w:r>
          </w:p>
        </w:tc>
        <w:tc>
          <w:tcPr>
            <w:tcW w:w="1814" w:type="dxa"/>
            <w:tcBorders/>
          </w:tcPr>
          <w:p>
            <w:pPr>
              <w:pStyle w:val="Contenudetableau"/>
              <w:suppressLineNumbers/>
              <w:spacing w:before="0" w:after="160"/>
              <w:rPr/>
            </w:pPr>
            <w:r>
              <w:rPr/>
              <w:t>66624.09</w:t>
            </w:r>
          </w:p>
        </w:tc>
        <w:tc>
          <w:tcPr>
            <w:tcW w:w="1815" w:type="dxa"/>
            <w:tcBorders/>
          </w:tcPr>
          <w:p>
            <w:pPr>
              <w:pStyle w:val="Contenudetableau"/>
              <w:suppressLineNumbers/>
              <w:spacing w:before="0" w:after="160"/>
              <w:rPr/>
            </w:pPr>
            <w:r>
              <w:rPr/>
              <w:t>56222.4</w:t>
            </w:r>
          </w:p>
        </w:tc>
        <w:tc>
          <w:tcPr>
            <w:tcW w:w="1814" w:type="dxa"/>
            <w:tcBorders/>
          </w:tcPr>
          <w:p>
            <w:pPr>
              <w:pStyle w:val="Contenudetableau"/>
              <w:suppressLineNumbers/>
              <w:spacing w:before="0" w:after="160"/>
              <w:rPr/>
            </w:pPr>
            <w:r>
              <w:rPr/>
              <w:t>15</w:t>
            </w:r>
          </w:p>
        </w:tc>
        <w:tc>
          <w:tcPr>
            <w:tcW w:w="1815" w:type="dxa"/>
            <w:tcBorders/>
          </w:tcPr>
          <w:p>
            <w:pPr>
              <w:pStyle w:val="Contenudetableau"/>
              <w:suppressLineNumbers/>
              <w:spacing w:before="0" w:after="160"/>
              <w:rPr/>
            </w:pPr>
            <w:r>
              <w:rPr/>
              <w:t>0.23</w:t>
            </w:r>
          </w:p>
        </w:tc>
      </w:tr>
      <w:tr>
        <w:trPr/>
        <w:tc>
          <w:tcPr>
            <w:tcW w:w="1814" w:type="dxa"/>
            <w:tcBorders/>
          </w:tcPr>
          <w:p>
            <w:pPr>
              <w:pStyle w:val="Contenudetableau"/>
              <w:suppressLineNumbers/>
              <w:spacing w:before="0" w:after="160"/>
              <w:rPr/>
            </w:pPr>
            <w:r>
              <w:rPr/>
              <w:t>B6-mdx</w:t>
            </w:r>
          </w:p>
        </w:tc>
        <w:tc>
          <w:tcPr>
            <w:tcW w:w="1814" w:type="dxa"/>
            <w:tcBorders/>
          </w:tcPr>
          <w:p>
            <w:pPr>
              <w:pStyle w:val="Contenudetableau"/>
              <w:suppressLineNumbers/>
              <w:spacing w:before="0" w:after="160"/>
              <w:rPr/>
            </w:pPr>
            <w:r>
              <w:rPr/>
              <w:t>15826.45</w:t>
            </w:r>
          </w:p>
        </w:tc>
        <w:tc>
          <w:tcPr>
            <w:tcW w:w="1815" w:type="dxa"/>
            <w:tcBorders/>
          </w:tcPr>
          <w:p>
            <w:pPr>
              <w:pStyle w:val="Contenudetableau"/>
              <w:suppressLineNumbers/>
              <w:spacing w:before="0" w:after="160"/>
              <w:rPr/>
            </w:pPr>
            <w:r>
              <w:rPr/>
              <w:t>14316.92</w:t>
            </w:r>
          </w:p>
        </w:tc>
        <w:tc>
          <w:tcPr>
            <w:tcW w:w="1814" w:type="dxa"/>
            <w:tcBorders/>
          </w:tcPr>
          <w:p>
            <w:pPr>
              <w:pStyle w:val="Contenudetableau"/>
              <w:suppressLineNumbers/>
              <w:spacing w:before="0" w:after="160"/>
              <w:rPr/>
            </w:pPr>
            <w:r>
              <w:rPr/>
              <w:t>13</w:t>
            </w:r>
          </w:p>
        </w:tc>
        <w:tc>
          <w:tcPr>
            <w:tcW w:w="1815" w:type="dxa"/>
            <w:tcBorders/>
          </w:tcPr>
          <w:p>
            <w:pPr>
              <w:pStyle w:val="Contenudetableau"/>
              <w:suppressLineNumbers/>
              <w:spacing w:before="0" w:after="160"/>
              <w:rPr/>
            </w:pPr>
            <w:r>
              <w:rPr/>
              <w:t>0.15</w:t>
            </w:r>
          </w:p>
        </w:tc>
      </w:tr>
      <w:tr>
        <w:trPr/>
        <w:tc>
          <w:tcPr>
            <w:tcW w:w="1814" w:type="dxa"/>
            <w:tcBorders/>
          </w:tcPr>
          <w:p>
            <w:pPr>
              <w:pStyle w:val="Contenudetableau"/>
              <w:suppressLineNumbers/>
              <w:spacing w:before="0" w:after="160"/>
              <w:rPr/>
            </w:pPr>
            <w:r>
              <w:rPr/>
              <w:t>B6-wt</w:t>
            </w:r>
          </w:p>
        </w:tc>
        <w:tc>
          <w:tcPr>
            <w:tcW w:w="1814" w:type="dxa"/>
            <w:tcBorders/>
          </w:tcPr>
          <w:p>
            <w:pPr>
              <w:pStyle w:val="Contenudetableau"/>
              <w:suppressLineNumbers/>
              <w:spacing w:before="0" w:after="160"/>
              <w:rPr/>
            </w:pPr>
            <w:r>
              <w:rPr/>
              <w:t>1159.94</w:t>
            </w:r>
          </w:p>
        </w:tc>
        <w:tc>
          <w:tcPr>
            <w:tcW w:w="1815" w:type="dxa"/>
            <w:tcBorders/>
          </w:tcPr>
          <w:p>
            <w:pPr>
              <w:pStyle w:val="Contenudetableau"/>
              <w:suppressLineNumbers/>
              <w:spacing w:before="0" w:after="160"/>
              <w:rPr/>
            </w:pPr>
            <w:r>
              <w:rPr/>
              <w:t>12156.24</w:t>
            </w:r>
          </w:p>
        </w:tc>
        <w:tc>
          <w:tcPr>
            <w:tcW w:w="1814" w:type="dxa"/>
            <w:tcBorders/>
          </w:tcPr>
          <w:p>
            <w:pPr>
              <w:pStyle w:val="Contenudetableau"/>
              <w:suppressLineNumbers/>
              <w:spacing w:before="0" w:after="160"/>
              <w:rPr/>
            </w:pPr>
            <w:r>
              <w:rPr/>
              <w:t>14</w:t>
            </w:r>
          </w:p>
        </w:tc>
        <w:tc>
          <w:tcPr>
            <w:tcW w:w="1815" w:type="dxa"/>
            <w:tcBorders/>
          </w:tcPr>
          <w:p>
            <w:pPr>
              <w:pStyle w:val="Contenudetableau"/>
              <w:suppressLineNumbers/>
              <w:spacing w:before="0" w:after="160"/>
              <w:rPr/>
            </w:pPr>
            <w:r>
              <w:rPr/>
              <w:t>0.55</w:t>
            </w:r>
          </w:p>
        </w:tc>
      </w:tr>
    </w:tbl>
    <w:p>
      <w:pPr>
        <w:pStyle w:val="Normal"/>
        <w:ind w:hanging="0"/>
        <w:rPr>
          <w:i w:val="false"/>
          <w:i w:val="false"/>
          <w:iCs w:val="false"/>
        </w:rPr>
      </w:pPr>
      <w:r>
        <w:rPr/>
      </w:r>
    </w:p>
    <w:p>
      <w:pPr>
        <w:pStyle w:val="Normal"/>
        <w:numPr>
          <w:ilvl w:val="0"/>
          <w:numId w:val="0"/>
        </w:numPr>
        <w:tabs>
          <w:tab w:val="clear" w:pos="708"/>
          <w:tab w:val="left" w:pos="8115" w:leader="none"/>
        </w:tabs>
        <w:ind w:left="720" w:hanging="0"/>
        <w:rPr/>
      </w:pPr>
      <w:r>
        <w:rPr>
          <w:i w:val="false"/>
          <w:iCs w:val="false"/>
        </w:rPr>
        <w:t xml:space="preserve">* : </w:t>
      </w:r>
      <w:r>
        <w:rPr>
          <w:i w:val="false"/>
          <w:iCs w:val="false"/>
        </w:rPr>
        <w:t>number of reads mapping to one locus in the genome.</w:t>
      </w:r>
      <w:r>
        <w:rPr>
          <w:i w:val="false"/>
          <w:iCs w:val="false"/>
        </w:rPr>
        <w:t xml:space="preserve"> ** :  number of reads mapping to one feature. *** : number of perfect match on cell barcode.</w:t>
      </w:r>
    </w:p>
    <w:p>
      <w:pPr>
        <w:pStyle w:val="Normal"/>
        <w:tabs>
          <w:tab w:val="clear" w:pos="708"/>
          <w:tab w:val="left" w:pos="8115" w:leader="none"/>
        </w:tabs>
        <w:ind w:hanging="0"/>
        <w:rPr/>
      </w:pPr>
      <w:r>
        <w:rPr>
          <w:i w:val="false"/>
          <w:iCs w:val="false"/>
        </w:rPr>
        <w:t>T</w:t>
      </w:r>
      <w:r>
        <w:rPr>
          <w:i w:val="false"/>
          <w:iCs w:val="false"/>
        </w:rPr>
        <w:t>hird, we determined outliers candidates when used classical outlier detection with this formula</w:t>
      </w:r>
    </w:p>
    <w:p>
      <w:pPr>
        <w:pStyle w:val="Normal"/>
        <w:ind w:hanging="0"/>
        <w:rPr/>
      </w:pPr>
      <w:r>
        <w:rPr>
          <w:i w:val="false"/>
          <w:iCs w:val="false"/>
        </w:rPr>
      </w:r>
      <m:oMath xmlns:m="http://schemas.openxmlformats.org/officeDocument/2006/math">
        <m:sSub>
          <m:e>
            <m:r>
              <w:rPr>
                <w:rFonts w:ascii="Cambria Math" w:hAnsi="Cambria Math"/>
              </w:rPr>
              <m:t xml:space="preserve">readsTotal</m:t>
            </m:r>
          </m:e>
          <m:sub>
            <m:r>
              <w:rPr>
                <w:rFonts w:ascii="Cambria Math" w:hAnsi="Cambria Math"/>
              </w:rPr>
              <m:t xml:space="preserve">barcode</m:t>
            </m:r>
          </m:sub>
        </m:sSub>
        <m:r>
          <w:rPr>
            <w:rFonts w:ascii="Cambria Math" w:hAnsi="Cambria Math"/>
          </w:rPr>
          <m:t xml:space="preserve">&lt;</m:t>
        </m:r>
        <m:d>
          <m:dPr>
            <m:begChr m:val="["/>
            <m:endChr m:val="]"/>
          </m:dPr>
          <m:e>
            <m:r>
              <w:rPr>
                <w:rFonts w:ascii="Cambria Math" w:hAnsi="Cambria Math"/>
              </w:rPr>
              <m:t xml:space="preserve">Q</m:t>
            </m:r>
            <m:r>
              <w:rPr>
                <w:rFonts w:ascii="Cambria Math" w:hAnsi="Cambria Math"/>
              </w:rPr>
              <m:t xml:space="preserve">1</m:t>
            </m:r>
            <m:d>
              <m:dPr>
                <m:begChr m:val="("/>
                <m:endChr m:val=")"/>
              </m:dPr>
              <m:e>
                <m:sSub>
                  <m:e>
                    <m:r>
                      <w:rPr>
                        <w:rFonts w:ascii="Cambria Math" w:hAnsi="Cambria Math"/>
                      </w:rPr>
                      <m:t xml:space="preserve">readsTotal</m:t>
                    </m:r>
                  </m:e>
                  <m:sub>
                    <m:r>
                      <w:rPr>
                        <w:rFonts w:ascii="Cambria Math" w:hAnsi="Cambria Math"/>
                      </w:rPr>
                      <m:t xml:space="preserve">barcode</m:t>
                    </m:r>
                  </m:sub>
                </m:sSub>
              </m:e>
            </m:d>
            <m:r>
              <w:rPr>
                <w:rFonts w:ascii="Cambria Math" w:hAnsi="Cambria Math"/>
              </w:rPr>
              <m:t xml:space="preserve">−</m:t>
            </m:r>
            <m:r>
              <w:rPr>
                <w:rFonts w:ascii="Cambria Math" w:hAnsi="Cambria Math"/>
              </w:rPr>
              <m:t xml:space="preserve">1.5</m:t>
            </m:r>
            <m:r>
              <w:rPr>
                <w:rFonts w:ascii="Cambria Math" w:hAnsi="Cambria Math"/>
              </w:rPr>
              <m:t xml:space="preserve">∗</m:t>
            </m:r>
            <m:r>
              <w:rPr>
                <w:rFonts w:ascii="Cambria Math" w:hAnsi="Cambria Math"/>
              </w:rPr>
              <m:t xml:space="preserve">IQR</m:t>
            </m:r>
            <m:d>
              <m:dPr>
                <m:begChr m:val="("/>
                <m:endChr m:val=")"/>
              </m:dPr>
              <m:e>
                <m:sSub>
                  <m:e>
                    <m:r>
                      <w:rPr>
                        <w:rFonts w:ascii="Cambria Math" w:hAnsi="Cambria Math"/>
                      </w:rPr>
                      <m:t xml:space="preserve">readsTotal</m:t>
                    </m:r>
                  </m:e>
                  <m:sub>
                    <m:r>
                      <w:rPr>
                        <w:rFonts w:ascii="Cambria Math" w:hAnsi="Cambria Math"/>
                      </w:rPr>
                      <m:t xml:space="preserve">barcode</m:t>
                    </m:r>
                  </m:sub>
                </m:sSub>
              </m:e>
            </m:d>
          </m:e>
        </m:d>
      </m:oMath>
    </w:p>
    <w:p>
      <w:pPr>
        <w:pStyle w:val="Normal"/>
        <w:ind w:hanging="0"/>
        <w:rPr/>
      </w:pPr>
      <w:r>
        <w:rPr>
          <w:i w:val="false"/>
          <w:iCs w:val="false"/>
        </w:rPr>
        <w:t xml:space="preserve">or </w:t>
      </w:r>
      <w:r>
        <w:rPr>
          <w:i w:val="false"/>
          <w:iCs w:val="false"/>
        </w:rPr>
      </w:r>
      <m:oMath xmlns:m="http://schemas.openxmlformats.org/officeDocument/2006/math">
        <m:sSub>
          <m:e>
            <m:r>
              <w:rPr>
                <w:rFonts w:ascii="Cambria Math" w:hAnsi="Cambria Math"/>
              </w:rPr>
              <m:t xml:space="preserve">readsTotal</m:t>
            </m:r>
          </m:e>
          <m:sub>
            <m:r>
              <w:rPr>
                <w:rFonts w:ascii="Cambria Math" w:hAnsi="Cambria Math"/>
              </w:rPr>
              <m:t xml:space="preserve">barcode</m:t>
            </m:r>
          </m:sub>
        </m:sSub>
        <m:r>
          <w:rPr>
            <w:rFonts w:ascii="Cambria Math" w:hAnsi="Cambria Math"/>
          </w:rPr>
          <m:t xml:space="preserve">&gt;</m:t>
        </m:r>
        <m:d>
          <m:dPr>
            <m:begChr m:val="["/>
            <m:endChr m:val="]"/>
          </m:dPr>
          <m:e>
            <m:r>
              <w:rPr>
                <w:rFonts w:ascii="Cambria Math" w:hAnsi="Cambria Math"/>
              </w:rPr>
              <m:t xml:space="preserve">Q</m:t>
            </m:r>
            <m:r>
              <w:rPr>
                <w:rFonts w:ascii="Cambria Math" w:hAnsi="Cambria Math"/>
              </w:rPr>
              <m:t xml:space="preserve">3</m:t>
            </m:r>
            <m:d>
              <m:dPr>
                <m:begChr m:val="("/>
                <m:endChr m:val=")"/>
              </m:dPr>
              <m:e>
                <m:sSub>
                  <m:e>
                    <m:r>
                      <w:rPr>
                        <w:rFonts w:ascii="Cambria Math" w:hAnsi="Cambria Math"/>
                      </w:rPr>
                      <m:t xml:space="preserve">readsTotal</m:t>
                    </m:r>
                  </m:e>
                  <m:sub>
                    <m:r>
                      <w:rPr>
                        <w:rFonts w:ascii="Cambria Math" w:hAnsi="Cambria Math"/>
                      </w:rPr>
                      <m:t xml:space="preserve">barcode</m:t>
                    </m:r>
                  </m:sub>
                </m:sSub>
              </m:e>
            </m:d>
            <m:r>
              <w:rPr>
                <w:rFonts w:ascii="Cambria Math" w:hAnsi="Cambria Math"/>
              </w:rPr>
              <m:t xml:space="preserve">+</m:t>
            </m:r>
            <m:r>
              <w:rPr>
                <w:rFonts w:ascii="Cambria Math" w:hAnsi="Cambria Math"/>
              </w:rPr>
              <m:t xml:space="preserve">1.5</m:t>
            </m:r>
            <m:r>
              <w:rPr>
                <w:rFonts w:ascii="Cambria Math" w:hAnsi="Cambria Math"/>
              </w:rPr>
              <m:t xml:space="preserve">xIQR</m:t>
            </m:r>
            <m:d>
              <m:dPr>
                <m:begChr m:val="("/>
                <m:endChr m:val=")"/>
              </m:dPr>
              <m:e>
                <m:sSub>
                  <m:e>
                    <m:r>
                      <w:rPr>
                        <w:rFonts w:ascii="Cambria Math" w:hAnsi="Cambria Math"/>
                      </w:rPr>
                      <m:t xml:space="preserve">readsTotal</m:t>
                    </m:r>
                  </m:e>
                  <m:sub>
                    <m:r>
                      <w:rPr>
                        <w:rFonts w:ascii="Cambria Math" w:hAnsi="Cambria Math"/>
                      </w:rPr>
                      <m:t xml:space="preserve">barcode</m:t>
                    </m:r>
                  </m:sub>
                </m:sSub>
              </m:e>
            </m:d>
          </m:e>
        </m:d>
      </m:oMath>
    </w:p>
    <w:p>
      <w:pPr>
        <w:pStyle w:val="Normal"/>
        <w:ind w:hanging="0"/>
        <w:rPr/>
      </w:pPr>
      <w:r>
        <w:rPr>
          <w:i w:val="false"/>
          <w:iCs w:val="false"/>
        </w:rPr>
        <w:t>F</w:t>
      </w:r>
      <w:r>
        <w:rPr>
          <w:i w:val="false"/>
          <w:iCs w:val="false"/>
        </w:rPr>
        <w:t xml:space="preserve">ourth, we </w:t>
      </w:r>
      <w:r>
        <w:rPr>
          <w:i w:val="false"/>
          <w:iCs w:val="false"/>
          <w:lang w:val="en-US"/>
        </w:rPr>
        <w:t>calculated</w:t>
      </w:r>
      <w:r>
        <w:rPr>
          <w:i w:val="false"/>
          <w:iCs w:val="false"/>
        </w:rPr>
        <w:t xml:space="preserve"> the nuclear fraction (NF) ratio (intronic/exonic) to conserve any barcode with NF&gt;0. Fifth, we powered the percentage of any biotype for each barcode. To identify a “closed” model of integrity cell, we build a covariance matrix with </w:t>
      </w:r>
      <w:r>
        <w:rPr>
          <w:i/>
          <w:iCs/>
        </w:rPr>
        <w:t xml:space="preserve">nCount_RNA, nFeature_RNA, genomeU, cbPerfect, mito </w:t>
      </w:r>
      <w:r>
        <w:rPr>
          <w:i w:val="false"/>
          <w:iCs w:val="false"/>
        </w:rPr>
        <w:t>and percentage of protein coding. Then, we calculated a mahalanobis distance of it and determine</w:t>
      </w:r>
      <w:r>
        <w:rPr>
          <w:i w:val="false"/>
          <w:iCs w:val="false"/>
        </w:rPr>
        <w:t xml:space="preserve">d </w:t>
      </w:r>
      <w:r>
        <w:rPr>
          <w:i w:val="false"/>
          <w:iCs w:val="false"/>
        </w:rPr>
        <w:t xml:space="preserve">outliers barcode when </w:t>
      </w:r>
      <w:r>
        <w:rPr>
          <w:i w:val="false"/>
          <w:iCs w:val="false"/>
          <w:lang w:val="en-US"/>
        </w:rPr>
        <w:t>distance</w:t>
      </w:r>
      <w:r>
        <w:rPr>
          <w:i w:val="false"/>
          <w:iCs w:val="false"/>
        </w:rPr>
        <w:t xml:space="preserve"> pass </w:t>
      </w:r>
      <w:r>
        <w:rPr>
          <w:i w:val="false"/>
          <w:iCs w:val="false"/>
        </w:rPr>
        <w:t xml:space="preserve">the pvalue of Chi-square test of independence  (x² depending of sample with </w:t>
      </w:r>
      <w:r>
        <w:rPr>
          <w:i w:val="false"/>
          <w:iCs w:val="false"/>
          <w:lang w:val="en-US"/>
        </w:rPr>
        <w:t xml:space="preserve">7 degrees of freedom). Sixth, we determined Doublet barcode with </w:t>
      </w:r>
      <w:r>
        <w:rPr>
          <w:i/>
          <w:iCs/>
          <w:lang w:val="en-US"/>
        </w:rPr>
        <w:t xml:space="preserve">scDblFinder </w:t>
      </w:r>
      <w:r>
        <w:rPr>
          <w:i w:val="false"/>
          <w:iCs w:val="false"/>
          <w:color w:val="000000"/>
          <w:lang w:val="en-US"/>
        </w:rPr>
        <w:t xml:space="preserve">R packages on cluster-based approach and </w:t>
      </w:r>
      <w:r>
        <w:rPr>
          <w:i/>
          <w:iCs/>
          <w:color w:val="000000"/>
          <w:lang w:val="en-US"/>
        </w:rPr>
        <w:t>dbr=0.1</w:t>
      </w:r>
      <w:r>
        <w:rPr>
          <w:i w:val="false"/>
          <w:iCs w:val="false"/>
          <w:color w:val="000000"/>
          <w:lang w:val="en-US"/>
        </w:rPr>
        <w:t xml:space="preserve">. </w:t>
      </w:r>
      <w:r>
        <w:rPr>
          <w:i w:val="false"/>
          <w:iCs w:val="false"/>
          <w:color w:val="000000"/>
          <w:lang w:val="en-US"/>
        </w:rPr>
        <w:t>Seventh, we selected any features where mean</w:t>
      </w:r>
      <w:r>
        <w:rPr>
          <w:i w:val="false"/>
          <w:iCs w:val="false"/>
          <w:color w:val="000000"/>
          <w:position w:val="0"/>
          <w:sz w:val="22"/>
          <w:u w:val="none"/>
          <w:vertAlign w:val="baseline"/>
          <w:lang w:val="en-US"/>
        </w:rPr>
        <w:t>(count</w:t>
      </w:r>
      <w:r>
        <w:rPr>
          <w:i w:val="false"/>
          <w:iCs w:val="false"/>
          <w:color w:val="000000"/>
          <w:u w:val="none"/>
          <w:vertAlign w:val="subscript"/>
          <w:lang w:val="en-US"/>
        </w:rPr>
        <w:t xml:space="preserve"> sample</w:t>
      </w:r>
      <w:r>
        <w:rPr>
          <w:i w:val="false"/>
          <w:iCs w:val="false"/>
          <w:color w:val="000000"/>
          <w:position w:val="0"/>
          <w:sz w:val="22"/>
          <w:u w:val="none"/>
          <w:vertAlign w:val="baseline"/>
          <w:lang w:val="en-US"/>
        </w:rPr>
        <w:t>)</w:t>
      </w:r>
      <w:r>
        <w:rPr>
          <w:i w:val="false"/>
          <w:iCs w:val="false"/>
          <w:color w:val="000000"/>
          <w:u w:val="none"/>
          <w:vertAlign w:val="subscript"/>
          <w:lang w:val="en-US"/>
        </w:rPr>
        <w:t>feature</w:t>
      </w:r>
      <w:r>
        <w:rPr>
          <w:i w:val="false"/>
          <w:iCs w:val="false"/>
          <w:color w:val="000000"/>
          <w:position w:val="0"/>
          <w:sz w:val="22"/>
          <w:u w:val="none"/>
          <w:vertAlign w:val="baseline"/>
          <w:lang w:val="en-US"/>
        </w:rPr>
        <w:t xml:space="preserve"> &gt; 0.1.  </w:t>
      </w:r>
    </w:p>
    <w:p>
      <w:pPr>
        <w:pStyle w:val="Normal"/>
        <w:rPr/>
      </w:pPr>
      <w:r>
        <w:rPr/>
        <w:t xml:space="preserve">In total, 1,297 cells  </w:t>
      </w:r>
      <w:r>
        <w:rPr/>
        <w:t xml:space="preserve">and 17227 features </w:t>
      </w:r>
      <w:r>
        <w:rPr/>
        <w:t xml:space="preserve">in B6.wt, 6,238 cells </w:t>
      </w:r>
      <w:r>
        <w:rPr/>
        <w:t>and 25779 features</w:t>
      </w:r>
      <w:r>
        <w:rPr/>
        <w:t xml:space="preserve"> in B6.</w:t>
      </w:r>
      <w:r>
        <w:rPr>
          <w:i/>
          <w:iCs/>
        </w:rPr>
        <w:t>mdx</w:t>
      </w:r>
      <w:r>
        <w:rPr/>
        <w:t xml:space="preserve">, 1,476 cells </w:t>
      </w:r>
      <w:r>
        <w:rPr/>
        <w:t>and 21026 features</w:t>
      </w:r>
      <w:r>
        <w:rPr/>
        <w:t xml:space="preserve"> in D2.wt and 2,164 cells </w:t>
      </w:r>
      <w:r>
        <w:rPr/>
        <w:t xml:space="preserve">and 21045 features </w:t>
      </w:r>
      <w:r>
        <w:rPr/>
        <w:t>in D2.</w:t>
      </w:r>
      <w:r>
        <w:rPr>
          <w:i/>
          <w:iCs/>
        </w:rPr>
        <w:t>mdx</w:t>
      </w:r>
      <w:r>
        <w:rPr/>
        <w:t xml:space="preserve"> were sequenced and used for further analysis.</w:t>
      </w:r>
    </w:p>
    <w:p>
      <w:pPr>
        <w:pStyle w:val="Normal"/>
        <w:ind w:hanging="0"/>
        <w:rPr/>
      </w:pPr>
      <w:r>
        <w:rPr/>
        <w:t xml:space="preserve">The downstream treatment for analysis separatly and integrativly after filtering used is </w:t>
      </w:r>
      <w:r>
        <w:rPr>
          <w:i/>
          <w:iCs/>
        </w:rPr>
        <w:t>SCTransform</w:t>
      </w:r>
      <w:r>
        <w:rPr>
          <w:i w:val="false"/>
          <w:iCs w:val="false"/>
        </w:rPr>
        <w:t xml:space="preserve"> with </w:t>
      </w:r>
      <w:r>
        <w:rPr>
          <w:i/>
          <w:iCs/>
        </w:rPr>
        <w:t>glmGamPoi</w:t>
      </w:r>
      <w:r>
        <w:rPr>
          <w:i w:val="false"/>
          <w:iCs w:val="false"/>
        </w:rPr>
        <w:t xml:space="preserve"> method and a regression of percentage of mitochrondrial, PCA on SCT assay, (s)KNN graph build on pca reduction matrix with a dimensions depending of sample (we selected the last elbow point where cumulative sums of percentage Standard Deviation &gt; 90% and the n+1 dimension not exceed &lt; 1% supplementary), we used Leiden Clustering with </w:t>
      </w:r>
      <w:r>
        <w:rPr>
          <w:i/>
          <w:iCs/>
        </w:rPr>
        <w:t xml:space="preserve">igraph </w:t>
      </w:r>
      <w:r>
        <w:rPr>
          <w:i w:val="false"/>
          <w:iCs w:val="false"/>
        </w:rPr>
        <w:t>method.</w:t>
      </w:r>
    </w:p>
    <w:p>
      <w:pPr>
        <w:pStyle w:val="Normal"/>
        <w:ind w:hanging="0"/>
        <w:rPr/>
      </w:pPr>
      <w:r>
        <w:rPr>
          <w:i w:val="false"/>
          <w:iCs w:val="false"/>
        </w:rPr>
        <w:t xml:space="preserve">For integrative analysis, we build a “group” variable depending of name sample, condition and lineage. We used merge dataset and used </w:t>
      </w:r>
      <w:r>
        <w:rPr>
          <w:i/>
          <w:iCs/>
        </w:rPr>
        <w:t xml:space="preserve">JoinLayers </w:t>
      </w:r>
      <w:r>
        <w:rPr>
          <w:i w:val="false"/>
          <w:iCs w:val="false"/>
        </w:rPr>
        <w:t xml:space="preserve">from Seurat v5, split merge dataset in function of group value of interest. We performed merged object with the same process before. Before (s)KNN graph building, we used </w:t>
      </w:r>
      <w:r>
        <w:rPr>
          <w:i/>
          <w:iCs/>
        </w:rPr>
        <w:t>IntegrateLayers</w:t>
      </w:r>
      <w:r>
        <w:rPr>
          <w:i w:val="false"/>
          <w:iCs w:val="false"/>
        </w:rPr>
        <w:t xml:space="preserve"> with </w:t>
      </w:r>
      <w:r>
        <w:rPr>
          <w:i/>
          <w:iCs/>
        </w:rPr>
        <w:t>HarmonyIntegration</w:t>
      </w:r>
      <w:r>
        <w:rPr>
          <w:i w:val="false"/>
          <w:iCs w:val="false"/>
        </w:rPr>
        <w:t xml:space="preserve"> of SCT assay. We build (s)KNN graph on harmony reduction matrix with all dimensions calculated (50). We used Leiden Clustering with </w:t>
      </w:r>
      <w:r>
        <w:rPr>
          <w:i/>
          <w:iCs/>
        </w:rPr>
        <w:t>igraph</w:t>
      </w:r>
      <w:r>
        <w:rPr>
          <w:i w:val="false"/>
          <w:iCs w:val="false"/>
        </w:rPr>
        <w:t xml:space="preserve"> method.</w:t>
      </w:r>
    </w:p>
    <w:p>
      <w:pPr>
        <w:pStyle w:val="Normal"/>
        <w:ind w:hanging="0"/>
        <w:rPr/>
      </w:pPr>
      <w:r>
        <w:rPr>
          <w:i w:val="false"/>
          <w:iCs w:val="false"/>
        </w:rPr>
        <w:t xml:space="preserve">For the visualization, we used UMAP as 2 different resolution : 0.2 and 0.8. We used also FFT-accelerated Interpolation-based t-SNE </w:t>
      </w:r>
      <w:r>
        <w:rPr>
          <w:i w:val="false"/>
          <w:iCs w:val="false"/>
        </w:rPr>
        <w:t>(FItSNE)</w:t>
      </w:r>
      <w:r>
        <w:rPr>
          <w:i/>
          <w:iCs/>
        </w:rPr>
        <w:t xml:space="preserve"> </w:t>
      </w:r>
      <w:r>
        <w:rPr>
          <w:i w:val="false"/>
          <w:iCs w:val="false"/>
        </w:rPr>
        <w:t xml:space="preserve">with this parameters : a modification of </w:t>
      </w:r>
      <w:r>
        <w:rPr>
          <w:i w:val="false"/>
          <w:iCs w:val="false"/>
        </w:rPr>
        <w:t>i</w:t>
      </w:r>
      <w:r>
        <w:rPr>
          <w:i w:val="false"/>
          <w:iCs w:val="false"/>
        </w:rPr>
        <w:t xml:space="preserve">nitialization (first and second </w:t>
      </w:r>
      <w:r>
        <w:rPr>
          <w:i w:val="false"/>
          <w:iCs w:val="false"/>
        </w:rPr>
        <w:t xml:space="preserve">Harmony </w:t>
      </w:r>
      <w:r>
        <w:rPr>
          <w:i w:val="false"/>
          <w:iCs w:val="false"/>
        </w:rPr>
        <w:t xml:space="preserve">dimensions are divided by standard deviation </w:t>
      </w:r>
      <w:r>
        <w:rPr>
          <w:i w:val="false"/>
          <w:iCs w:val="false"/>
        </w:rPr>
        <w:t xml:space="preserve">of first Harmony dimension multiplied by 0.0001), </w:t>
      </w:r>
      <w:r>
        <w:rPr>
          <w:i/>
          <w:iCs/>
        </w:rPr>
        <w:t>perplexity_list</w:t>
      </w:r>
      <w:r>
        <w:rPr>
          <w:i w:val="false"/>
          <w:iCs w:val="false"/>
        </w:rPr>
        <w:t xml:space="preserve"> used is a list starting 30 to n</w:t>
      </w:r>
      <w:r>
        <w:rPr>
          <w:i w:val="false"/>
          <w:iCs w:val="false"/>
          <w:lang w:val="en-US"/>
        </w:rPr>
        <w:t>Cells</w:t>
      </w:r>
      <w:r>
        <w:rPr>
          <w:i w:val="false"/>
          <w:iCs w:val="false"/>
          <w:vertAlign w:val="subscript"/>
          <w:lang w:val="en-US"/>
        </w:rPr>
        <w:t>integrated dataset</w:t>
      </w:r>
      <w:r>
        <w:rPr>
          <w:i w:val="false"/>
          <w:iCs w:val="false"/>
        </w:rPr>
        <w:t xml:space="preserve">/100) and </w:t>
      </w:r>
      <w:r>
        <w:rPr>
          <w:i/>
          <w:iCs/>
        </w:rPr>
        <w:t>learning rate = nCells</w:t>
      </w:r>
      <w:r>
        <w:rPr>
          <w:i/>
          <w:iCs/>
          <w:vertAlign w:val="subscript"/>
        </w:rPr>
        <w:t>integrated dataset</w:t>
      </w:r>
      <w:r>
        <w:rPr>
          <w:i/>
          <w:iCs/>
          <w:position w:val="0"/>
          <w:sz w:val="22"/>
          <w:vertAlign w:val="baseline"/>
        </w:rPr>
        <w:t xml:space="preserve"> / 12, </w:t>
      </w:r>
      <w:r>
        <w:rPr>
          <w:i w:val="false"/>
          <w:iCs w:val="false"/>
          <w:position w:val="0"/>
          <w:sz w:val="22"/>
          <w:vertAlign w:val="baseline"/>
        </w:rPr>
        <w:t xml:space="preserve">all harmony dimensions used and </w:t>
      </w:r>
      <w:r>
        <w:rPr>
          <w:i w:val="false"/>
          <w:iCs w:val="false"/>
          <w:position w:val="0"/>
          <w:sz w:val="22"/>
          <w:vertAlign w:val="baseline"/>
        </w:rPr>
        <w:t>1000 iterations to run.</w:t>
      </w:r>
    </w:p>
    <w:p>
      <w:pPr>
        <w:pStyle w:val="Normal"/>
        <w:ind w:hanging="0"/>
        <w:rPr/>
      </w:pPr>
      <w:r>
        <w:rPr>
          <w:i w:val="false"/>
          <w:iCs w:val="false"/>
          <w:position w:val="0"/>
          <w:sz w:val="22"/>
          <w:vertAlign w:val="baseline"/>
        </w:rPr>
        <w:t xml:space="preserve">To determine clusters, we compared 2 methodologies : </w:t>
      </w:r>
    </w:p>
    <w:p>
      <w:pPr>
        <w:pStyle w:val="Normal"/>
        <w:numPr>
          <w:ilvl w:val="0"/>
          <w:numId w:val="3"/>
        </w:numPr>
        <w:rPr/>
      </w:pPr>
      <w:r>
        <w:rPr>
          <w:i w:val="false"/>
          <w:iCs w:val="false"/>
          <w:position w:val="0"/>
          <w:sz w:val="22"/>
          <w:vertAlign w:val="baseline"/>
        </w:rPr>
        <w:t>manual based on know genes with a strong association with a cell identity</w:t>
      </w:r>
    </w:p>
    <w:p>
      <w:pPr>
        <w:pStyle w:val="Normal"/>
        <w:numPr>
          <w:ilvl w:val="0"/>
          <w:numId w:val="3"/>
        </w:numPr>
        <w:rPr/>
      </w:pPr>
      <w:r>
        <w:rPr>
          <w:i w:val="false"/>
          <w:iCs w:val="false"/>
          <w:position w:val="0"/>
          <w:sz w:val="22"/>
          <w:vertAlign w:val="baseline"/>
          <w:lang w:val="en-US"/>
        </w:rPr>
        <w:t xml:space="preserve">projection of </w:t>
      </w:r>
      <w:r>
        <w:rPr>
          <w:i/>
          <w:iCs/>
          <w:position w:val="0"/>
          <w:sz w:val="22"/>
          <w:vertAlign w:val="baseline"/>
          <w:lang w:val="en-US"/>
        </w:rPr>
        <w:t>mkellar, at al. a</w:t>
      </w:r>
      <w:r>
        <w:rPr>
          <w:i w:val="false"/>
          <w:iCs w:val="false"/>
          <w:position w:val="0"/>
          <w:sz w:val="22"/>
          <w:vertAlign w:val="baseline"/>
          <w:lang w:val="en-US"/>
        </w:rPr>
        <w:t xml:space="preserve">s reference dataset with used </w:t>
      </w:r>
      <w:r>
        <w:rPr>
          <w:i/>
          <w:iCs/>
          <w:position w:val="0"/>
          <w:sz w:val="22"/>
          <w:vertAlign w:val="baseline"/>
          <w:lang w:val="en-US"/>
        </w:rPr>
        <w:t xml:space="preserve">FindTransferAnchors and TransferData R </w:t>
      </w:r>
      <w:r>
        <w:rPr>
          <w:i w:val="false"/>
          <w:iCs w:val="false"/>
          <w:position w:val="0"/>
          <w:sz w:val="22"/>
          <w:vertAlign w:val="baseline"/>
          <w:lang w:val="en-US"/>
        </w:rPr>
        <w:t xml:space="preserve">function from Seurat. </w:t>
      </w:r>
    </w:p>
    <w:p>
      <w:pPr>
        <w:pStyle w:val="Normal"/>
        <w:ind w:hanging="0"/>
        <w:rPr/>
      </w:pPr>
      <w:r>
        <w:rPr>
          <w:i w:val="false"/>
          <w:iCs w:val="false"/>
          <w:position w:val="0"/>
          <w:sz w:val="22"/>
          <w:vertAlign w:val="baseline"/>
          <w:lang w:val="en-US"/>
        </w:rPr>
        <w:t>B</w:t>
      </w:r>
      <w:r>
        <w:rPr>
          <w:i w:val="false"/>
          <w:iCs w:val="false"/>
          <w:position w:val="0"/>
          <w:sz w:val="22"/>
          <w:vertAlign w:val="baseline"/>
          <w:lang w:val="en-US"/>
        </w:rPr>
        <w:t xml:space="preserve">iomarkers are identified after </w:t>
      </w:r>
      <w:r>
        <w:rPr>
          <w:i/>
          <w:iCs/>
          <w:position w:val="0"/>
          <w:sz w:val="22"/>
          <w:vertAlign w:val="baseline"/>
          <w:lang w:val="en-US"/>
        </w:rPr>
        <w:t>PrepSCTFindMarkers</w:t>
      </w:r>
      <w:r>
        <w:rPr>
          <w:i w:val="false"/>
          <w:iCs w:val="false"/>
          <w:position w:val="0"/>
          <w:sz w:val="22"/>
          <w:vertAlign w:val="baseline"/>
          <w:lang w:val="en-US"/>
        </w:rPr>
        <w:t xml:space="preserve"> on SCT assay and performed with </w:t>
      </w:r>
      <w:r>
        <w:rPr>
          <w:i/>
          <w:iCs/>
          <w:position w:val="0"/>
          <w:sz w:val="22"/>
          <w:vertAlign w:val="baseline"/>
          <w:lang w:val="en-US"/>
        </w:rPr>
        <w:t xml:space="preserve">FindAllMarkers </w:t>
      </w:r>
      <w:r>
        <w:rPr>
          <w:i w:val="false"/>
          <w:iCs w:val="false"/>
          <w:position w:val="0"/>
          <w:sz w:val="22"/>
          <w:vertAlign w:val="baseline"/>
          <w:lang w:val="en-US"/>
        </w:rPr>
        <w:t xml:space="preserve"> with MAST test. We filtered filtered biomarkers to conserve only features |pct.1</w:t>
      </w:r>
      <w:r>
        <w:rPr>
          <w:i w:val="false"/>
          <w:iCs w:val="false"/>
          <w:vertAlign w:val="subscript"/>
          <w:lang w:val="en-US"/>
        </w:rPr>
        <w:t>feature/cluster</w:t>
      </w:r>
      <w:r>
        <w:rPr>
          <w:i w:val="false"/>
          <w:iCs w:val="false"/>
          <w:position w:val="0"/>
          <w:sz w:val="22"/>
          <w:vertAlign w:val="baseline"/>
          <w:lang w:val="en-US"/>
        </w:rPr>
        <w:t xml:space="preserve"> – pct.2</w:t>
      </w:r>
      <w:r>
        <w:rPr>
          <w:i w:val="false"/>
          <w:iCs w:val="false"/>
          <w:vertAlign w:val="subscript"/>
          <w:lang w:val="en-US"/>
        </w:rPr>
        <w:t>feature/cluster</w:t>
      </w:r>
      <w:r>
        <w:rPr>
          <w:i w:val="false"/>
          <w:iCs w:val="false"/>
          <w:position w:val="0"/>
          <w:sz w:val="22"/>
          <w:vertAlign w:val="baseline"/>
          <w:lang w:val="en-US"/>
        </w:rPr>
        <w:t xml:space="preserve"> | &gt; 0.2 and p-adj &lt; 0.05. We selected a top5 on each cluster found and sign of log2FC. </w:t>
      </w:r>
    </w:p>
    <w:p>
      <w:pPr>
        <w:pStyle w:val="Normal"/>
        <w:ind w:hanging="0"/>
        <w:rPr/>
      </w:pPr>
      <w:r>
        <w:rPr>
          <w:i w:val="false"/>
          <w:iCs w:val="false"/>
          <w:position w:val="0"/>
          <w:sz w:val="22"/>
          <w:vertAlign w:val="baseline"/>
          <w:lang w:val="en-US"/>
        </w:rPr>
        <w:t xml:space="preserve">CellCycle are performed by </w:t>
      </w:r>
      <w:r>
        <w:rPr>
          <w:i/>
          <w:iCs/>
          <w:position w:val="0"/>
          <w:sz w:val="22"/>
          <w:vertAlign w:val="baseline"/>
          <w:lang w:val="en-US"/>
        </w:rPr>
        <w:t>tricycle</w:t>
      </w:r>
      <w:r>
        <w:rPr>
          <w:i w:val="false"/>
          <w:iCs w:val="false"/>
          <w:position w:val="0"/>
          <w:sz w:val="22"/>
          <w:vertAlign w:val="baseline"/>
          <w:lang w:val="en-US"/>
        </w:rPr>
        <w:t xml:space="preserve"> R package.</w:t>
      </w:r>
    </w:p>
    <w:p>
      <w:pPr>
        <w:pStyle w:val="Normal"/>
        <w:ind w:hanging="0"/>
        <w:rPr/>
      </w:pPr>
      <w:r>
        <w:rPr>
          <w:i w:val="false"/>
          <w:iCs w:val="false"/>
          <w:position w:val="0"/>
          <w:sz w:val="22"/>
          <w:vertAlign w:val="baseline"/>
          <w:lang w:val="en-US"/>
        </w:rPr>
        <w:t xml:space="preserve">Pathway annotation are calculated after downloading gmt files from msigdb and </w:t>
      </w:r>
      <w:r>
        <w:rPr>
          <w:i w:val="false"/>
          <w:iCs w:val="false"/>
          <w:position w:val="0"/>
          <w:sz w:val="22"/>
          <w:vertAlign w:val="baseline"/>
          <w:lang w:val="en-US"/>
        </w:rPr>
        <w:t xml:space="preserve">raffine geneset depending of dataset tested (we conserve only geneset where 75% of genes are common between geneset and dataset). We calculated a UCell Score with </w:t>
      </w:r>
      <w:r>
        <w:rPr>
          <w:i/>
          <w:iCs/>
          <w:position w:val="0"/>
          <w:sz w:val="22"/>
          <w:vertAlign w:val="baseline"/>
          <w:lang w:val="en-US"/>
        </w:rPr>
        <w:t>AddModuleScore_Ucell</w:t>
      </w:r>
      <w:r>
        <w:rPr>
          <w:i w:val="false"/>
          <w:iCs w:val="false"/>
          <w:position w:val="0"/>
          <w:sz w:val="22"/>
          <w:vertAlign w:val="baseline"/>
          <w:lang w:val="en-US"/>
        </w:rPr>
        <w:t xml:space="preserve"> on SCT assay and we determined a smooth signature scores by kNN from </w:t>
      </w:r>
      <w:r>
        <w:rPr>
          <w:i/>
          <w:iCs/>
          <w:position w:val="0"/>
          <w:sz w:val="22"/>
          <w:u w:val="none"/>
          <w:vertAlign w:val="baseline"/>
          <w:lang w:val="en-US"/>
        </w:rPr>
        <w:t>Ucell</w:t>
      </w:r>
      <w:r>
        <w:rPr>
          <w:i w:val="false"/>
          <w:iCs w:val="false"/>
          <w:position w:val="0"/>
          <w:sz w:val="22"/>
          <w:u w:val="none"/>
          <w:vertAlign w:val="baseline"/>
          <w:lang w:val="en-US"/>
        </w:rPr>
        <w:t xml:space="preserve"> R package.</w:t>
      </w:r>
    </w:p>
    <w:p>
      <w:pPr>
        <w:pStyle w:val="Normal"/>
        <w:rPr/>
      </w:pPr>
      <w:r>
        <w:rPr/>
        <w:t>Integrative analysis of the 4 datasets identified 18 Seurat clusters (</w:t>
      </w:r>
      <w:r>
        <w:rPr>
          <w:b/>
          <w:bCs/>
        </w:rPr>
        <w:t>Figure 1a</w:t>
      </w:r>
      <w:r>
        <w:rPr/>
        <w:t xml:space="preserve">). To define each cluster, we first analysed the expression of canonical cell type markers that highlighted </w:t>
      </w:r>
      <w:r>
        <w:rPr>
          <w:highlight w:val="green"/>
        </w:rPr>
        <w:t>7 hypergroups</w:t>
      </w:r>
      <w:r>
        <w:rPr/>
        <w:t xml:space="preserve"> (</w:t>
      </w:r>
      <w:r>
        <w:rPr>
          <w:b/>
          <w:bCs/>
        </w:rPr>
        <w:t>Figures 1c, 2a</w:t>
      </w:r>
      <w:r>
        <w:rPr/>
        <w:t>), defined as:</w:t>
      </w:r>
    </w:p>
    <w:p>
      <w:pPr>
        <w:pStyle w:val="ListParagraph"/>
        <w:numPr>
          <w:ilvl w:val="0"/>
          <w:numId w:val="1"/>
        </w:numPr>
        <w:rPr/>
      </w:pPr>
      <w:r>
        <w:rPr/>
        <w:t xml:space="preserve">the </w:t>
      </w:r>
      <w:r>
        <w:rPr>
          <w:b/>
          <w:bCs/>
        </w:rPr>
        <w:t>muscle stem cells</w:t>
      </w:r>
      <w:r>
        <w:rPr/>
        <w:t xml:space="preserve"> (MuSCs) that include quiescent and proliferating muscle stem cells (MuSCs, </w:t>
      </w:r>
      <w:r>
        <w:rPr>
          <w:i/>
          <w:iCs/>
        </w:rPr>
        <w:t>Pax7</w:t>
      </w:r>
      <w:r>
        <w:rPr/>
        <w:t>+, clusters 4 and 13) and lineage-committed cells (Myog+, cluster 14),</w:t>
      </w:r>
    </w:p>
    <w:p>
      <w:pPr>
        <w:pStyle w:val="ListParagraph"/>
        <w:numPr>
          <w:ilvl w:val="0"/>
          <w:numId w:val="1"/>
        </w:numPr>
        <w:rPr/>
      </w:pPr>
      <w:r>
        <w:rPr/>
        <w:t xml:space="preserve">the </w:t>
      </w:r>
      <w:r>
        <w:rPr>
          <w:b/>
          <w:bCs/>
        </w:rPr>
        <w:t>fibro-adipogenic progenitors</w:t>
      </w:r>
      <w:r>
        <w:rPr/>
        <w:t xml:space="preserve"> (FAPs, </w:t>
      </w:r>
      <w:r>
        <w:rPr>
          <w:i/>
          <w:iCs/>
        </w:rPr>
        <w:t>Pdgfra</w:t>
      </w:r>
      <w:r>
        <w:rPr/>
        <w:t xml:space="preserve">+, </w:t>
      </w:r>
      <w:r>
        <w:rPr>
          <w:i/>
          <w:iCs/>
        </w:rPr>
        <w:t>Mme</w:t>
      </w:r>
      <w:r>
        <w:rPr/>
        <w:t>+, clusters 7 and 5),</w:t>
      </w:r>
    </w:p>
    <w:p>
      <w:pPr>
        <w:pStyle w:val="ListParagraph"/>
        <w:numPr>
          <w:ilvl w:val="0"/>
          <w:numId w:val="1"/>
        </w:numPr>
        <w:rPr/>
      </w:pPr>
      <w:r>
        <w:rPr/>
        <w:t xml:space="preserve">the </w:t>
      </w:r>
      <w:r>
        <w:rPr>
          <w:b/>
          <w:bCs/>
        </w:rPr>
        <w:t>endothelial cells</w:t>
      </w:r>
      <w:r>
        <w:rPr/>
        <w:t xml:space="preserve"> (ECs, </w:t>
      </w:r>
      <w:r>
        <w:rPr>
          <w:i/>
          <w:iCs/>
        </w:rPr>
        <w:t>Tie1</w:t>
      </w:r>
      <w:r>
        <w:rPr/>
        <w:t xml:space="preserve">+, </w:t>
      </w:r>
      <w:r>
        <w:rPr>
          <w:i/>
          <w:iCs/>
        </w:rPr>
        <w:t>Flt1</w:t>
      </w:r>
      <w:r>
        <w:rPr/>
        <w:t>+, clusters 1, 7, 12, 17, and 18),</w:t>
      </w:r>
    </w:p>
    <w:p>
      <w:pPr>
        <w:pStyle w:val="ListParagraph"/>
        <w:numPr>
          <w:ilvl w:val="0"/>
          <w:numId w:val="1"/>
        </w:numPr>
        <w:rPr/>
      </w:pPr>
      <w:r>
        <w:rPr/>
        <w:t xml:space="preserve">the </w:t>
      </w:r>
      <w:r>
        <w:rPr>
          <w:b/>
          <w:bCs/>
        </w:rPr>
        <w:t>mural cells</w:t>
      </w:r>
      <w:r>
        <w:rPr/>
        <w:t xml:space="preserve"> including the smooth muscle cells (cluster 16) and the pericytes (cluster 11),</w:t>
      </w:r>
    </w:p>
    <w:p>
      <w:pPr>
        <w:pStyle w:val="ListParagraph"/>
        <w:numPr>
          <w:ilvl w:val="0"/>
          <w:numId w:val="1"/>
        </w:numPr>
        <w:rPr/>
      </w:pPr>
      <w:r>
        <w:rPr/>
        <w:t xml:space="preserve">the </w:t>
      </w:r>
      <w:r>
        <w:rPr>
          <w:b/>
          <w:bCs/>
        </w:rPr>
        <w:t>immune cells</w:t>
      </w:r>
      <w:r>
        <w:rPr/>
        <w:t xml:space="preserve"> (</w:t>
      </w:r>
      <w:r>
        <w:rPr>
          <w:i/>
          <w:iCs/>
        </w:rPr>
        <w:t>Cd74</w:t>
      </w:r>
      <w:r>
        <w:rPr/>
        <w:t xml:space="preserve">+, </w:t>
      </w:r>
      <w:r>
        <w:rPr>
          <w:i/>
          <w:iCs/>
        </w:rPr>
        <w:t>Ptprc</w:t>
      </w:r>
      <w:r>
        <w:rPr/>
        <w:t>+, clusters 2, 5, 9 and 10),</w:t>
      </w:r>
    </w:p>
    <w:p>
      <w:pPr>
        <w:pStyle w:val="ListParagraph"/>
        <w:numPr>
          <w:ilvl w:val="0"/>
          <w:numId w:val="1"/>
        </w:numPr>
        <w:rPr/>
      </w:pPr>
      <w:r>
        <w:rPr/>
        <w:t xml:space="preserve">the </w:t>
      </w:r>
      <w:r>
        <w:rPr>
          <w:b/>
          <w:bCs/>
        </w:rPr>
        <w:t>tenocytes</w:t>
      </w:r>
      <w:r>
        <w:rPr/>
        <w:t xml:space="preserve"> (cluster 6, </w:t>
      </w:r>
      <w:r>
        <w:rPr>
          <w:i/>
          <w:iCs/>
        </w:rPr>
        <w:t>Scx</w:t>
      </w:r>
      <w:r>
        <w:rPr/>
        <w:t xml:space="preserve">+, </w:t>
      </w:r>
      <w:r>
        <w:rPr>
          <w:i/>
          <w:iCs/>
        </w:rPr>
        <w:t>Tnmd</w:t>
      </w:r>
      <w:r>
        <w:rPr/>
        <w:t>+),</w:t>
      </w:r>
    </w:p>
    <w:p>
      <w:pPr>
        <w:pStyle w:val="ListParagraph"/>
        <w:numPr>
          <w:ilvl w:val="0"/>
          <w:numId w:val="1"/>
        </w:numPr>
        <w:rPr/>
      </w:pPr>
      <w:r>
        <w:rPr/>
        <w:t xml:space="preserve">and the </w:t>
      </w:r>
      <w:r>
        <w:rPr>
          <w:b/>
          <w:bCs/>
        </w:rPr>
        <w:t>neural cells</w:t>
      </w:r>
      <w:r>
        <w:rPr/>
        <w:t xml:space="preserve"> (Schwann cells, cluster 14, </w:t>
      </w:r>
      <w:r>
        <w:rPr>
          <w:i/>
          <w:iCs/>
        </w:rPr>
        <w:t>Mpz</w:t>
      </w:r>
      <w:r>
        <w:rPr/>
        <w:t xml:space="preserve">+, </w:t>
      </w:r>
      <w:r>
        <w:rPr>
          <w:i/>
          <w:iCs/>
        </w:rPr>
        <w:t>Ajap1</w:t>
      </w:r>
      <w:r>
        <w:rPr/>
        <w:t xml:space="preserve">+). </w:t>
      </w:r>
    </w:p>
    <w:p>
      <w:pPr>
        <w:pStyle w:val="Normal"/>
        <w:rPr/>
      </w:pPr>
      <w:r>
        <w:rPr/>
        <w:t>Overall, cells for each genotype distribute homogeneously in each hypergroup. Consistent with the inflammation induced by a dystrophic environment, both B6.</w:t>
      </w:r>
      <w:r>
        <w:rPr>
          <w:i/>
          <w:iCs/>
        </w:rPr>
        <w:t>mdx</w:t>
      </w:r>
      <w:r>
        <w:rPr/>
        <w:t xml:space="preserve"> and D2.</w:t>
      </w:r>
      <w:r>
        <w:rPr>
          <w:i/>
          <w:iCs/>
        </w:rPr>
        <w:t>mdx</w:t>
      </w:r>
      <w:r>
        <w:rPr/>
        <w:t xml:space="preserve"> muscles exhibit increased proportions of immune cells.</w:t>
      </w:r>
    </w:p>
    <w:p>
      <w:pPr>
        <w:pStyle w:val="ListParagraph"/>
        <w:numPr>
          <w:ilvl w:val="0"/>
          <w:numId w:val="1"/>
        </w:numPr>
        <w:rPr/>
      </w:pPr>
      <w:r>
        <w:rPr/>
      </w:r>
    </w:p>
    <w:p>
      <w:pPr>
        <w:pStyle w:val="Normal"/>
        <w:ind w:hanging="0"/>
        <w:rPr/>
      </w:pPr>
      <w:r>
        <w:rPr/>
        <w:drawing>
          <wp:inline distT="0" distB="0" distL="0" distR="0">
            <wp:extent cx="5760720" cy="3679825"/>
            <wp:effectExtent l="0" t="0" r="0" b="0"/>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2"/>
                    <a:stretch>
                      <a:fillRect/>
                    </a:stretch>
                  </pic:blipFill>
                  <pic:spPr bwMode="auto">
                    <a:xfrm>
                      <a:off x="0" y="0"/>
                      <a:ext cx="5760720" cy="3679825"/>
                    </a:xfrm>
                    <a:prstGeom prst="rect">
                      <a:avLst/>
                    </a:prstGeom>
                  </pic:spPr>
                </pic:pic>
              </a:graphicData>
            </a:graphic>
          </wp:inline>
        </w:drawing>
      </w:r>
    </w:p>
    <w:p>
      <w:pPr>
        <w:pStyle w:val="Figure"/>
        <w:rPr/>
      </w:pPr>
      <w:r>
        <w:rPr>
          <w:b/>
          <w:bCs/>
        </w:rPr>
        <w:t>Figure 1: Integration of the 4 single-cell RNAseq datasets. a)</w:t>
      </w:r>
      <w:r>
        <w:rPr/>
        <w:t xml:space="preserve"> Unbiaised clustering of the integrated scRNAseq data represented on FFT-accelerated Interpolation-based t-SNE (FIt-SNE). </w:t>
      </w:r>
      <w:r>
        <w:rPr>
          <w:b/>
          <w:bCs/>
        </w:rPr>
        <w:t>b)</w:t>
      </w:r>
      <w:r>
        <w:rPr/>
        <w:t> Fit-SNE representation of integrated scRNAseq data where cells are colored by genotypes (yellow, B6.wt; blue, B6.</w:t>
      </w:r>
      <w:r>
        <w:rPr>
          <w:i/>
          <w:iCs/>
        </w:rPr>
        <w:t>mdx</w:t>
      </w:r>
      <w:r>
        <w:rPr/>
        <w:t>; green, D2.wt; magenta, D2.</w:t>
      </w:r>
      <w:r>
        <w:rPr>
          <w:i/>
          <w:iCs/>
        </w:rPr>
        <w:t>mdx</w:t>
      </w:r>
      <w:r>
        <w:rPr/>
        <w:t xml:space="preserve">). </w:t>
      </w:r>
      <w:r>
        <w:rPr>
          <w:b/>
          <w:bCs/>
        </w:rPr>
        <w:t>c)</w:t>
      </w:r>
      <w:r>
        <w:rPr/>
        <w:t xml:space="preserve"> Violin plots showing the expression of selected canonical genes within each cluster. </w:t>
      </w:r>
      <w:r>
        <w:rPr>
          <w:i/>
          <w:iCs/>
        </w:rPr>
        <w:t>Cd74</w:t>
      </w:r>
      <w:r>
        <w:rPr/>
        <w:t xml:space="preserve"> and </w:t>
      </w:r>
      <w:r>
        <w:rPr>
          <w:i/>
          <w:iCs/>
        </w:rPr>
        <w:t>Ptprc</w:t>
      </w:r>
      <w:r>
        <w:rPr/>
        <w:t xml:space="preserve"> identify the immune cells. </w:t>
      </w:r>
      <w:r>
        <w:rPr>
          <w:i/>
          <w:iCs/>
        </w:rPr>
        <w:t>Myogenin</w:t>
      </w:r>
      <w:r>
        <w:rPr/>
        <w:t xml:space="preserve"> (</w:t>
      </w:r>
      <w:r>
        <w:rPr>
          <w:i/>
          <w:iCs/>
        </w:rPr>
        <w:t>Myog</w:t>
      </w:r>
      <w:r>
        <w:rPr/>
        <w:t xml:space="preserve">) and </w:t>
      </w:r>
      <w:r>
        <w:rPr>
          <w:i/>
          <w:iCs/>
        </w:rPr>
        <w:t>Pax7</w:t>
      </w:r>
      <w:r>
        <w:rPr/>
        <w:t xml:space="preserve"> identify the muscle stem cells (MuSCs). </w:t>
      </w:r>
      <w:r>
        <w:rPr>
          <w:i/>
          <w:iCs/>
        </w:rPr>
        <w:t>Tie1</w:t>
      </w:r>
      <w:r>
        <w:rPr/>
        <w:t xml:space="preserve"> and </w:t>
      </w:r>
      <w:r>
        <w:rPr>
          <w:i/>
          <w:iCs/>
        </w:rPr>
        <w:t>FLt1</w:t>
      </w:r>
      <w:r>
        <w:rPr/>
        <w:t xml:space="preserve"> identify the endothelial cells (ECs). </w:t>
      </w:r>
      <w:r>
        <w:rPr>
          <w:i/>
          <w:iCs/>
        </w:rPr>
        <w:t>Myh11</w:t>
      </w:r>
      <w:r>
        <w:rPr/>
        <w:t xml:space="preserve"> and </w:t>
      </w:r>
      <w:r>
        <w:rPr>
          <w:i/>
          <w:iCs/>
        </w:rPr>
        <w:t>Acta2</w:t>
      </w:r>
      <w:r>
        <w:rPr/>
        <w:t xml:space="preserve"> identify the mural cells (MCs). </w:t>
      </w:r>
      <w:r>
        <w:rPr>
          <w:i/>
          <w:iCs/>
        </w:rPr>
        <w:t>Scx</w:t>
      </w:r>
      <w:r>
        <w:rPr/>
        <w:t xml:space="preserve"> and </w:t>
      </w:r>
      <w:r>
        <w:rPr>
          <w:i/>
          <w:iCs/>
        </w:rPr>
        <w:t>Tnmd</w:t>
      </w:r>
      <w:r>
        <w:rPr/>
        <w:t xml:space="preserve"> identify the tenocytes. </w:t>
      </w:r>
      <w:r>
        <w:rPr>
          <w:i/>
          <w:iCs/>
        </w:rPr>
        <w:t>Mme</w:t>
      </w:r>
      <w:r>
        <w:rPr/>
        <w:t xml:space="preserve"> and </w:t>
      </w:r>
      <w:r>
        <w:rPr>
          <w:i/>
          <w:iCs/>
        </w:rPr>
        <w:t>Pdgfra</w:t>
      </w:r>
      <w:r>
        <w:rPr/>
        <w:t xml:space="preserve"> identify the fibro-adipogenic progenitors (FAPs). </w:t>
      </w:r>
      <w:r>
        <w:rPr>
          <w:i/>
          <w:iCs/>
        </w:rPr>
        <w:t>Ajap1</w:t>
      </w:r>
      <w:r>
        <w:rPr/>
        <w:t xml:space="preserve"> and </w:t>
      </w:r>
      <w:r>
        <w:rPr>
          <w:i/>
          <w:iCs/>
        </w:rPr>
        <w:t>Mpz</w:t>
      </w:r>
      <w:r>
        <w:rPr/>
        <w:t xml:space="preserve"> identify neural cells (N).</w:t>
      </w:r>
    </w:p>
    <w:p>
      <w:pPr>
        <w:pStyle w:val="NoSpacing"/>
        <w:rPr/>
      </w:pPr>
      <w:r>
        <w:rPr/>
      </w:r>
    </w:p>
    <w:p>
      <w:pPr>
        <w:pStyle w:val="Normal"/>
        <w:ind w:hanging="0"/>
        <w:rPr/>
      </w:pPr>
      <w:r>
        <w:rPr/>
        <w:drawing>
          <wp:inline distT="0" distB="0" distL="0" distR="0">
            <wp:extent cx="5760720" cy="2153920"/>
            <wp:effectExtent l="0" t="0" r="0" b="0"/>
            <wp:docPr id="2"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
                    <pic:cNvPicPr>
                      <a:picLocks noChangeAspect="1" noChangeArrowheads="1"/>
                    </pic:cNvPicPr>
                  </pic:nvPicPr>
                  <pic:blipFill>
                    <a:blip r:embed="rId3"/>
                    <a:stretch>
                      <a:fillRect/>
                    </a:stretch>
                  </pic:blipFill>
                  <pic:spPr bwMode="auto">
                    <a:xfrm>
                      <a:off x="0" y="0"/>
                      <a:ext cx="5760720" cy="2153920"/>
                    </a:xfrm>
                    <a:prstGeom prst="rect">
                      <a:avLst/>
                    </a:prstGeom>
                  </pic:spPr>
                </pic:pic>
              </a:graphicData>
            </a:graphic>
          </wp:inline>
        </w:drawing>
      </w:r>
    </w:p>
    <w:p>
      <w:pPr>
        <w:pStyle w:val="Figure"/>
        <w:rPr/>
      </w:pPr>
      <w:r>
        <w:rPr>
          <w:b/>
          <w:bCs/>
        </w:rPr>
        <w:t>Figure 2: Integration of the 4 single-cell RNAseq datasets identifies 7 main cell types (hypergroups). a)</w:t>
      </w:r>
      <w:r>
        <w:rPr/>
        <w:t xml:space="preserve">  Fit-SNE representation of integrated scRNAseq data. Cells are colored by main types (yellow, FAPs; orange, immune cells; dark purple, endothelial cells; green, muscle stem cells; blue, tenocytes; pink, neural cells; light purple, mural cells) that are defined by selected canonical gene expression. </w:t>
      </w:r>
      <w:r>
        <w:rPr>
          <w:b/>
          <w:bCs/>
        </w:rPr>
        <w:t>b)</w:t>
      </w:r>
      <w:r>
        <w:rPr/>
        <w:t> Cell distribution for each dataset. Each genotype (wt or mdx) is presented side-by-side for the B6 (top panel) and D2 (lower panel) mouse strains.</w:t>
      </w:r>
    </w:p>
    <w:p>
      <w:pPr>
        <w:pStyle w:val="Normal"/>
        <w:ind w:hanging="0"/>
        <w:rPr/>
      </w:pPr>
      <w:r>
        <w:rPr/>
      </w:r>
    </w:p>
    <w:p>
      <w:pPr>
        <w:pStyle w:val="Normal"/>
        <w:rPr/>
      </w:pPr>
      <w:r>
        <w:rPr/>
      </w:r>
      <w:r>
        <w:br w:type="page"/>
      </w:r>
    </w:p>
    <w:p>
      <w:pPr>
        <w:pStyle w:val="Titre2"/>
        <w:rPr/>
      </w:pPr>
      <w:r>
        <w:rPr/>
        <w:t>Deconvolution of spatial RNA-sequencing data</w:t>
      </w:r>
    </w:p>
    <w:p>
      <w:pPr>
        <w:pStyle w:val="Normal"/>
        <w:rPr/>
      </w:pPr>
      <w:r>
        <w:rPr/>
        <w:t>To estimate the cell type composition at each spatial location</w:t>
      </w:r>
    </w:p>
    <w:p>
      <w:pPr>
        <w:pStyle w:val="Normal"/>
        <w:rPr/>
      </w:pPr>
      <w:r>
        <w:rPr/>
      </w:r>
    </w:p>
    <w:p>
      <w:pPr>
        <w:pStyle w:val="Titre2"/>
        <w:rPr/>
      </w:pPr>
      <w:r>
        <w:rPr/>
        <w:t xml:space="preserve">Pseudotime </w:t>
      </w:r>
    </w:p>
    <w:p>
      <w:pPr>
        <w:pStyle w:val="NoSpacing"/>
        <w:rPr/>
      </w:pPr>
      <w:r>
        <w:rPr/>
        <w:drawing>
          <wp:inline distT="0" distB="0" distL="0" distR="0">
            <wp:extent cx="5760720" cy="3300095"/>
            <wp:effectExtent l="0" t="0" r="0" b="0"/>
            <wp:docPr id="3"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
                    <pic:cNvPicPr>
                      <a:picLocks noChangeAspect="1" noChangeArrowheads="1"/>
                    </pic:cNvPicPr>
                  </pic:nvPicPr>
                  <pic:blipFill>
                    <a:blip r:embed="rId4"/>
                    <a:stretch>
                      <a:fillRect/>
                    </a:stretch>
                  </pic:blipFill>
                  <pic:spPr bwMode="auto">
                    <a:xfrm>
                      <a:off x="0" y="0"/>
                      <a:ext cx="5760720" cy="3300095"/>
                    </a:xfrm>
                    <a:prstGeom prst="rect">
                      <a:avLst/>
                    </a:prstGeom>
                  </pic:spPr>
                </pic:pic>
              </a:graphicData>
            </a:graphic>
          </wp:inline>
        </w:drawing>
      </w:r>
    </w:p>
    <w:p>
      <w:pPr>
        <w:pStyle w:val="Normal"/>
        <w:rPr/>
      </w:pPr>
      <w:r>
        <w:rPr/>
      </w:r>
      <w:r>
        <w:br w:type="page"/>
      </w:r>
    </w:p>
    <w:p>
      <w:pPr>
        <w:pStyle w:val="Titre1"/>
        <w:rPr/>
      </w:pPr>
      <w:r>
        <w:rPr/>
        <w:t>Methods</w:t>
      </w:r>
    </w:p>
    <w:p>
      <w:pPr>
        <w:pStyle w:val="Titre2"/>
        <w:rPr/>
      </w:pPr>
      <w:r>
        <w:rPr/>
        <w:t>Mouse lines</w:t>
      </w:r>
    </w:p>
    <w:p>
      <w:pPr>
        <w:pStyle w:val="Normal"/>
        <w:rPr/>
      </w:pPr>
      <w:r>
        <w:rPr/>
        <w:t xml:space="preserve">D2.B10 (DBA/2-congenic) </w:t>
      </w:r>
      <w:r>
        <w:rPr>
          <w:i/>
          <w:iCs/>
        </w:rPr>
        <w:t>Dmd</w:t>
      </w:r>
      <w:r>
        <w:rPr>
          <w:i/>
          <w:iCs/>
          <w:vertAlign w:val="superscript"/>
        </w:rPr>
        <w:t>mdx</w:t>
      </w:r>
      <w:r>
        <w:rPr>
          <w:i/>
          <w:iCs/>
        </w:rPr>
        <w:t xml:space="preserve"> </w:t>
      </w:r>
      <w:r>
        <w:rPr/>
        <w:t>mouse</w:t>
      </w:r>
    </w:p>
    <w:p>
      <w:pPr>
        <w:pStyle w:val="Normal"/>
        <w:rPr/>
      </w:pPr>
      <w:r>
        <w:rPr/>
        <w:t>6-week-old</w:t>
      </w:r>
    </w:p>
    <w:p>
      <w:pPr>
        <w:pStyle w:val="Normal"/>
        <w:rPr/>
      </w:pPr>
      <w:r>
        <w:rPr/>
        <w:t>male</w:t>
      </w:r>
    </w:p>
    <w:p>
      <w:pPr>
        <w:pStyle w:val="Normal"/>
        <w:rPr/>
      </w:pPr>
      <w:r>
        <w:rPr/>
        <w:t xml:space="preserve">All mice were maintained in a pathogen-free animal facility under standard 12h light/12h dark cycle at 21°C with access to standard chow and water </w:t>
      </w:r>
      <w:r>
        <w:rPr>
          <w:i/>
          <w:iCs/>
        </w:rPr>
        <w:t>ad libitum</w:t>
      </w:r>
      <w:r>
        <w:rPr/>
        <w:t xml:space="preserve">. All experiments were performed in accordance with protocols approved by the ethical committee (blablabla). </w:t>
      </w:r>
    </w:p>
    <w:p>
      <w:pPr>
        <w:pStyle w:val="Titre2"/>
        <w:rPr/>
      </w:pPr>
      <w:r>
        <w:rPr/>
        <w:t>Single-cell RNA-sequencing library preparation</w:t>
      </w:r>
    </w:p>
    <w:p>
      <w:pPr>
        <w:pStyle w:val="Normal"/>
        <w:rPr/>
      </w:pPr>
      <w:r>
        <w:rPr/>
      </w:r>
    </w:p>
    <w:p>
      <w:pPr>
        <w:pStyle w:val="Titre2"/>
        <w:rPr/>
      </w:pPr>
      <w:r>
        <w:rPr/>
        <w:t>Spatial RNA-sequencing library preparation</w:t>
      </w:r>
    </w:p>
    <w:p>
      <w:pPr>
        <w:pStyle w:val="Normal"/>
        <w:spacing w:before="0" w:after="160"/>
        <w:ind w:hanging="0"/>
        <w:rPr/>
      </w:pPr>
      <w:r>
        <w:rPr>
          <w:i/>
          <w:iCs/>
        </w:rPr>
        <w:t>Gastrocnemius</w:t>
      </w:r>
      <w:r>
        <w:rPr/>
        <w:t xml:space="preserve"> muscle from 6-week-old D2.B10 (DBA/2-congenic) </w:t>
      </w:r>
      <w:r>
        <w:rPr>
          <w:i/>
          <w:iCs/>
        </w:rPr>
        <w:t>Dmd</w:t>
      </w:r>
      <w:r>
        <w:rPr>
          <w:i/>
          <w:iCs/>
          <w:vertAlign w:val="superscript"/>
        </w:rPr>
        <w:t>mdx</w:t>
      </w:r>
      <w:r>
        <w:rPr>
          <w:i/>
          <w:iCs/>
        </w:rPr>
        <w:t xml:space="preserve"> </w:t>
      </w:r>
      <w:r>
        <w:rPr/>
        <w:t>mouse was isolated, embedded in OCT and flash-frozen in liquid nitrogen-cooled isopentane. Embedded muscle was transversely sectioned at 10 µm thickness. 10 µm tissue section was fixed with methanol, stained by hematoxylin and eosin (H&amp;E) and imaged using the Zeiss Axio Scan.Z1 slide scanner. Section was then permeabilized for 18 min (optimal permeabilization time was determined using the 10x Genomics Visium Tissue Optimization Kit). Spatially tagged cDNA libraries were generated following the Visium Spatial Gene Expression 3′ Library Construction Kit (10X Genomics). cDNA library was sequenced in paired-end on an Illumina NextSeq 500. Frames around the capture area on the Visium slide were aligned manually and spots covering the tissue were selected using Loupe Browser software (10X Genomics). Sequencing data were then aligned to the mouse reference genome (mm10) using the spaceranger v1.0.0 pipeline to generate a feature-by-spot-barcode expression matrix (10X Genomics).</w:t>
      </w:r>
    </w:p>
    <w:sectPr>
      <w:type w:val="nextPage"/>
      <w:pgSz w:w="11906" w:h="16838"/>
      <w:pgMar w:left="1417" w:right="1417"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charset w:val="01"/>
    <w:family w:val="auto"/>
    <w:pitch w:val="default"/>
  </w:font>
  <w:font w:name="Courier New">
    <w:charset w:val="01"/>
    <w:family w:val="auto"/>
    <w:pitch w:val="default"/>
  </w:font>
  <w:font w:name="Wingdings">
    <w:charset w:val="02"/>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407a"/>
    <w:pPr>
      <w:widowControl/>
      <w:bidi w:val="0"/>
      <w:spacing w:lineRule="auto" w:line="360" w:before="0" w:after="160"/>
      <w:ind w:firstLine="426"/>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Titre1">
    <w:name w:val="Heading 1"/>
    <w:basedOn w:val="Normal"/>
    <w:next w:val="Normal"/>
    <w:link w:val="Titre1Car"/>
    <w:uiPriority w:val="9"/>
    <w:qFormat/>
    <w:rsid w:val="0048407a"/>
    <w:pPr>
      <w:keepNext w:val="true"/>
      <w:keepLines/>
      <w:spacing w:before="0" w:after="240"/>
      <w:ind w:hanging="0"/>
      <w:outlineLvl w:val="0"/>
    </w:pPr>
    <w:rPr>
      <w:rFonts w:eastAsia="" w:cs="Calibri" w:cstheme="minorHAnsi" w:eastAsiaTheme="majorEastAsia"/>
      <w:b/>
      <w:sz w:val="24"/>
      <w:szCs w:val="24"/>
      <w:u w:val="single"/>
    </w:rPr>
  </w:style>
  <w:style w:type="paragraph" w:styleId="Titre2">
    <w:name w:val="Heading 2"/>
    <w:basedOn w:val="Titre1"/>
    <w:next w:val="Normal"/>
    <w:link w:val="Titre2Car"/>
    <w:uiPriority w:val="9"/>
    <w:unhideWhenUsed/>
    <w:qFormat/>
    <w:rsid w:val="00304c77"/>
    <w:pPr>
      <w:outlineLvl w:val="1"/>
    </w:pPr>
    <w:rPr>
      <w:sz w:val="22"/>
      <w:szCs w:val="22"/>
      <w:u w:val="none"/>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2526f9"/>
    <w:rPr>
      <w:b/>
      <w:bCs/>
    </w:rPr>
  </w:style>
  <w:style w:type="character" w:styleId="Titre1Car" w:customStyle="1">
    <w:name w:val="Titre 1 Car"/>
    <w:basedOn w:val="DefaultParagraphFont"/>
    <w:link w:val="Titre1"/>
    <w:uiPriority w:val="9"/>
    <w:qFormat/>
    <w:rsid w:val="0048407a"/>
    <w:rPr>
      <w:rFonts w:eastAsia="" w:cs="Calibri" w:cstheme="minorHAnsi" w:eastAsiaTheme="majorEastAsia"/>
      <w:b/>
      <w:sz w:val="24"/>
      <w:szCs w:val="24"/>
      <w:u w:val="single"/>
      <w:lang w:val="en-GB"/>
    </w:rPr>
  </w:style>
  <w:style w:type="character" w:styleId="Titre2Car" w:customStyle="1">
    <w:name w:val="Titre 2 Car"/>
    <w:basedOn w:val="DefaultParagraphFont"/>
    <w:link w:val="Titre2"/>
    <w:uiPriority w:val="9"/>
    <w:qFormat/>
    <w:rsid w:val="00304c77"/>
    <w:rPr>
      <w:rFonts w:eastAsia="" w:cs="Calibri" w:cstheme="minorHAnsi" w:eastAsiaTheme="majorEastAsia"/>
      <w:b/>
      <w:lang w:val="en-GB"/>
    </w:rPr>
  </w:style>
  <w:style w:type="character" w:styleId="FigureCar" w:customStyle="1">
    <w:name w:val="Figure Car"/>
    <w:basedOn w:val="DefaultParagraphFont"/>
    <w:link w:val="Figure"/>
    <w:qFormat/>
    <w:rsid w:val="0048407a"/>
    <w:rPr>
      <w:sz w:val="20"/>
      <w:lang w:val="en-GB"/>
    </w:rPr>
  </w:style>
  <w:style w:type="character" w:styleId="Puces">
    <w:name w:val="Puces"/>
    <w:qFormat/>
    <w:rPr>
      <w:rFonts w:ascii="OpenSymbol" w:hAnsi="OpenSymbol" w:eastAsia="OpenSymbol" w:cs="OpenSymbol"/>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Spacing">
    <w:name w:val="No Spacing"/>
    <w:uiPriority w:val="1"/>
    <w:qFormat/>
    <w:rsid w:val="002526f9"/>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ListParagraph">
    <w:name w:val="List Paragraph"/>
    <w:basedOn w:val="Normal"/>
    <w:uiPriority w:val="34"/>
    <w:qFormat/>
    <w:rsid w:val="00630315"/>
    <w:pPr>
      <w:spacing w:before="0" w:after="160"/>
      <w:ind w:left="720" w:firstLine="426"/>
      <w:contextualSpacing/>
    </w:pPr>
    <w:rPr/>
  </w:style>
  <w:style w:type="paragraph" w:styleId="Figure" w:customStyle="1">
    <w:name w:val="Figure"/>
    <w:basedOn w:val="Normal"/>
    <w:link w:val="FigureCar"/>
    <w:qFormat/>
    <w:rsid w:val="0048407a"/>
    <w:pPr>
      <w:spacing w:lineRule="auto" w:line="276"/>
      <w:ind w:hanging="0"/>
    </w:pPr>
    <w:rPr>
      <w:sz w:val="20"/>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wmf"/><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1304</TotalTime>
  <Application>LibreOffice/6.4.7.2$Linux_X86_64 LibreOffice_project/40$Build-2</Application>
  <Pages>7</Pages>
  <Words>1368</Words>
  <Characters>7901</Characters>
  <CharactersWithSpaces>9205</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2024-05-23T10:19:00Z</dcterms:created>
  <dc:creator>caroline.brun</dc:creator>
  <dc:description/>
  <dc:language>fr-FR</dc:language>
  <cp:lastModifiedBy/>
  <dcterms:modified xsi:type="dcterms:W3CDTF">2024-06-06T11:46:03Z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