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u w:val="none"/>
        </w:rPr>
        <w:t>Faculty question generation prompt</w:t>
      </w:r>
    </w:p>
    <w:p>
      <w:r>
        <w:t>Supply your learning objectives, source materials and requested pool counts with this prompt. Review every generated answer yourself. Do not provide student records or identifiers.</w:t>
      </w:r>
    </w:p>
    <w:p>
      <w:pPr>
        <w:pStyle w:val="Heading1"/>
      </w:pPr>
      <w:r>
        <w:t>Prompt to copy</w:t>
      </w:r>
    </w:p>
    <w:p>
      <w:r>
        <w:t>Generate a Mastery Quests manual question package as valid JSON only, without markdown fences, comments or executable JavaScript. Use the current sample structure at https://masteryquests.org/downloads/resources/faculty-question-package-example.json. The top-level fields are banks, repairQuestions, bridgeQuestions, objectiveLabels, embeddedQuestionAssets and questionAssetMetadata.</w:t>
      </w:r>
    </w:p>
    <w:p>
      <w:r>
        <w:t>Use banks easy, medium, hard, elite, legendary, easyBoss, mediumBoss, finalBoss and legendaryBoss. Every question needs a unique id (string or number), q, exactly four plausible nonempty string options, numeric a from 0–3, tag, type, objective, primarySkill, repairSkill and feedback explaining the answer. Difficulty must match the main pool. Boss pools use easy, medium, hard and legendary respectively; never difficulty boss. Repair and bridge may omit difficulty.</w:t>
      </w:r>
    </w:p>
    <w:p>
      <w:r>
        <w:t>Use objective IDs supplied by me and map them to readable names in objectiveLabels. Type is a descriptive nonempty string, such as calculation or interpretation. Do not invent a required numeric ID range or Composer-only metadata. Use optional hint, commonError, conceptCluster or secondarySkills only when useful. If a bossStage is supplied, use 1, 2, 3, opening, middle or final.</w:t>
      </w:r>
    </w:p>
    <w:p>
      <w:r>
        <w:t>Build a repair and bridge route for each taught skill: the main question repairSkill must match the primarySkill of its repair and bridge questions. Do not make repeated question wording the only difference between difficulty levels. Include multi-step reasoning only when appropriate to the objective, while keeping the four-option answer model.</w:t>
      </w:r>
    </w:p>
    <w:p>
      <w:r>
        <w:br w:type="page"/>
      </w:r>
    </w:p>
    <w:p>
      <w:r>
        <w:t>Only reference images I actually provide or explicitly create approved assets for. Image is a relative filename. In questionAssetMetadata under that same key provide imageAlt and graphDescription describing the information needed without depending on color. Trial by Graph questions require graphRequired true. Do not invent missing image files or use remote image URLs. Embedded images go in embeddedQuestionAssets as base64 image data URLs.</w:t>
      </w:r>
    </w:p>
    <w:p>
      <w:r>
        <w:t>Minimum launch counts: Standard and Score need 6 each easy/medium/hard, 3 each easyBoss/mediumBoss/finalBoss, plus repair and bridge. Timed, Exam and Unlimited need 6 each easy/medium/hard plus repair and bridge. Quiz needs 5 each easy/medium/hard. Legendary needs 6 legendary and 3 legendaryBoss. Trial by Graph needs 10 eligible graph questions. Fading Fortune and Risk and Reward need 10 main questions. Provide 15 or 20 eligible questions for those longer targets. These are minimums; use the larger bank sizes I request.</w:t>
      </w:r>
    </w:p>
    <w:p>
      <w:pPr>
        <w:pStyle w:val="Heading1"/>
      </w:pPr>
      <w:r>
        <w:t>Review and use</w:t>
      </w:r>
    </w:p>
    <w:p>
      <w:r>
        <w:t>Validate the JSON at https://masteryquests.org/tools/question-bank-validator/. Fix errors, review warnings, check factual accuracy and answer keys, then download checked JSON and paste only within the manual package markers. Test all enabled modes, adaptive routes, images, save/resume and completion before sharing. The validator cannot certify teaching quality or whether an answer hash matches its choices.</w:t>
      </w:r>
    </w:p>
    <w:p>
      <w:r>
        <w:t>The free manual template and public polished games are local-only. Remote telemetry is OFF by default. Operational telemetry is not research by default. Do not include names, email addresses, LMS account identifiers, university identifiers or free-text student responses in the package.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color w:val="11111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1111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1111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