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QUICK GUIDE</w:t>
      </w:r>
    </w:p>
    <w:p>
      <w:pPr>
        <w:pStyle w:val="Title"/>
        <w:spacing w:after="80"/>
      </w:pPr>
      <w:r>
        <w:rPr>
          <w:color w:val="000000"/>
          <w:u w:val="none"/>
        </w:rPr>
        <w:t>Composer + LMS Quick Start</w:t>
      </w:r>
    </w:p>
    <w:p>
      <w:pPr>
        <w:pStyle w:val="Subtitle"/>
        <w:spacing w:after="240"/>
      </w:pPr>
      <w:r>
        <w:t>Build an economics Mastery Quest, publish its self-contained game HTML, and place the game in your LMS.</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Fast path: Choose a course area, concepts, and learning-outcome coverage, then enable the modes you want, choose an official theme or optional custom images, review Readiness, Generate, and publish the self-contained game HTML. Concept Reviews open from the Mastery Quests web library when recommended. No JavaScript editing is required.</w:t>
            </w:r>
          </w:p>
        </w:tc>
      </w:tr>
    </w:tbl>
    <w:p>
      <w:pPr>
        <w:spacing w:after="0"/>
      </w:pPr>
    </w:p>
    <w:p>
      <w:pPr>
        <w:pStyle w:val="Heading1"/>
      </w:pPr>
      <w:r>
        <w:t>1. Build the game in the Composer</w:t>
      </w:r>
    </w:p>
    <w:tbl>
      <w:tblPr>
        <w:tblW w:type="auto" w:w="0"/>
        <w:jc w:val="center"/>
        <w:tblLayout w:type="fixed"/>
        <w:tblLook w:firstColumn="1" w:firstRow="1" w:lastColumn="0" w:lastRow="0" w:noHBand="0" w:noVBand="1" w:val="04A0"/>
      </w:tblPr>
      <w:tblGrid>
        <w:gridCol w:w="792"/>
        <w:gridCol w:w="9000"/>
      </w:tblGrid>
      <w:tr>
        <w:trPr>
          <w:cantSplit/>
        </w:trP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Concepts and scope</w:t>
              <w:br/>
              <w:t>Choose an area and concepts. Open Learning outcomes: Standard gives normal coverage, Brief essentials, and Full all outcomes. Checkboxes create Custom coverage. Single-outcome presets coincide.</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Give the game a student-facing title. Keep or edit the lowercase file name.</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Modes</w:t>
              <w:br/>
              <w:t>Enable only the modes you plan to offer. The current set is Standard Campaign, Timed Trial, Exam Drill, Legendary Mode, Score Attack, Quiz, Unlimited Practice, Trial by Graph, Fading Fortune, and Risk &amp; Reward.</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checkpoint coverage. Optional focus narrows which eligible concepts supply a checkpoint; it does not remove ordinary questions.</w:t>
            </w:r>
          </w:p>
        </w:tc>
      </w:tr>
      <w:tr>
        <w:trPr>
          <w:cantSplit/>
        </w:trPr>
        <w:tc>
          <w:tcPr>
            <w:tcW w:type="dxa" w:w="792"/>
            <w:vAlign w:val="top"/>
            <w:shd w:fill="062454"/>
            <w:tcBorders>
              <w:bottom w:val="single" w:sz="6" w:color="DDE5EC"/>
            </w:tcBorders>
          </w:tcPr>
          <w:p>
            <w:pPr>
              <w:jc w:val="center"/>
            </w:pPr>
            <w:r>
              <w:rPr>
                <w:b/>
                <w:color w:val="FFFFFF"/>
              </w:rPr>
              <w:t>05</w:t>
            </w:r>
            <w:r>
              <w:rPr>
                <w:color w:val="FFFFFF"/>
              </w:rPr>
              <w:br/>
            </w:r>
            <w:r>
              <w:rPr>
                <w:color w:val="FFFFFF"/>
              </w:rPr>
            </w:r>
          </w:p>
        </w:tc>
        <w:tc>
          <w:tcPr>
            <w:tcW w:type="dxa" w:w="9000"/>
            <w:vAlign w:val="top"/>
            <w:shd w:fill="FFFFFF"/>
            <w:tcBorders>
              <w:bottom w:val="single" w:sz="6" w:color="DDE5EC"/>
            </w:tcBorders>
          </w:tcPr>
          <w:p>
            <w:pPr>
              <w:spacing w:after="80"/>
            </w:pPr>
            <w:r>
              <w:rPr>
                <w:b/>
              </w:rPr>
              <w:t>Appearance</w:t>
            </w:r>
            <w:r>
              <w:br/>
            </w:r>
            <w:r>
              <w:t>Choose an official theme, keep its artwork, or replace individual slots with official or custom images.</w:t>
            </w:r>
          </w:p>
        </w:tc>
      </w:tr>
      <w:tr>
        <w:trPr>
          <w:cantSplit/>
        </w:trPr>
        <w:tc>
          <w:tcPr>
            <w:tcW w:type="dxa" w:w="792"/>
            <w:vAlign w:val="top"/>
            <w:shd w:fill="062454"/>
            <w:tcBorders>
              <w:bottom w:val="single" w:sz="6" w:color="DDE5EC"/>
            </w:tcBorders>
          </w:tcPr>
          <w:p>
            <w:pPr>
              <w:jc w:val="center"/>
            </w:pPr>
            <w:r>
              <w:rPr>
                <w:b/>
                <w:color w:val="FFFFFF"/>
              </w:rPr>
              <w:t>06</w:t>
            </w:r>
            <w:r>
              <w:rPr>
                <w:color w:val="FFFFFF"/>
              </w:rPr>
              <w:br/>
            </w:r>
            <w:r>
              <w:rPr>
                <w:color w:val="FFFFFF"/>
              </w:rPr>
            </w:r>
          </w:p>
        </w:tc>
        <w:tc>
          <w:tcPr>
            <w:tcW w:type="dxa" w:w="9000"/>
            <w:vAlign w:val="top"/>
            <w:shd w:fill="FFFFFF"/>
            <w:tcBorders>
              <w:bottom w:val="single" w:sz="6" w:color="DDE5EC"/>
            </w:tcBorders>
          </w:tcPr>
          <w:p>
            <w:pPr>
              <w:spacing w:after="80"/>
            </w:pPr>
            <w:r>
              <w:rPr>
                <w:b/>
              </w:rPr>
              <w:t>Readiness</w:t>
            </w:r>
            <w:r>
              <w:br/>
            </w:r>
            <w:r>
              <w:t>Fix blocking coverage issues. The Composer also shows the estimated package size.</w:t>
            </w:r>
          </w:p>
        </w:tc>
      </w:tr>
      <w:tr>
        <w:trPr>
          <w:cantSplit/>
        </w:trPr>
        <w:tc>
          <w:tcPr>
            <w:tcW w:type="dxa" w:w="792"/>
            <w:vAlign w:val="top"/>
            <w:shd w:fill="062454"/>
            <w:tcBorders>
              <w:bottom w:val="single" w:sz="6" w:color="DDE5EC"/>
            </w:tcBorders>
          </w:tcPr>
          <w:p>
            <w:pPr>
              <w:jc w:val="center"/>
            </w:pPr>
            <w:r>
              <w:rPr>
                <w:b/>
                <w:color w:val="FFFFFF"/>
              </w:rPr>
              <w:t>07</w:t>
            </w:r>
            <w:r>
              <w:rPr>
                <w:color w:val="FFFFFF"/>
              </w:rPr>
              <w:br/>
            </w:r>
            <w:r>
              <w:rPr>
                <w:color w:val="FFFFFF"/>
              </w:rPr>
            </w:r>
          </w:p>
        </w:tc>
        <w:tc>
          <w:tcPr>
            <w:tcW w:type="dxa" w:w="9000"/>
            <w:vAlign w:val="top"/>
            <w:shd w:fill="FFFFFF"/>
            <w:tcBorders>
              <w:bottom w:val="single" w:sz="6" w:color="DDE5EC"/>
            </w:tcBorders>
          </w:tcPr>
          <w:p>
            <w:r>
              <w:rPr>
                <w:b/>
              </w:rPr>
              <w:t>Generate</w:t>
            </w:r>
            <w:r>
              <w:br/>
            </w:r>
            <w:r>
              <w:t>Download the ZIP. Keep the composition recipe and faculty build records for later revisions.</w:t>
            </w:r>
          </w:p>
        </w:tc>
      </w:tr>
    </w:tbl>
    <w:p>
      <w:pPr>
        <w:spacing w:after="0"/>
      </w:pPr>
    </w:p>
    <w:p>
      <w:pPr>
        <w:pStyle w:val="Heading2"/>
      </w:pPr>
      <w:r>
        <w:t>What the ZIP contains</w:t>
      </w:r>
    </w:p>
    <w:p>
      <w:pPr>
        <w:pStyle w:val="ListBullet"/>
        <w:spacing w:after="50"/>
        <w:ind w:left="360" w:hanging="173"/>
      </w:pPr>
      <w:r>
        <w:t>The generated .html file - the game; graph images, selected official or custom artwork, and runtime logic are embedded.</w:t>
      </w:r>
    </w:p>
    <w:p>
      <w:pPr>
        <w:pStyle w:val="ListBullet"/>
        <w:spacing w:after="50"/>
        <w:ind w:left="360" w:hanging="173"/>
      </w:pPr>
      <w:r>
        <w:rPr>
          <w:rFonts w:ascii="Aptos" w:hAnsi="Aptos"/>
          <w:color w:val="0A172A"/>
          <w:sz w:val="21"/>
        </w:rPr>
        <w:t>composition_recipe.json — reopen the same concept and mode selections later.</w:t>
      </w:r>
    </w:p>
    <w:p>
      <w:pPr>
        <w:pStyle w:val="ListBullet"/>
        <w:spacing w:after="50"/>
        <w:ind w:left="360" w:hanging="173"/>
      </w:pPr>
      <w:r>
        <w:rPr>
          <w:rFonts w:ascii="Aptos" w:hAnsi="Aptos"/>
          <w:color w:val="0A172A"/>
          <w:sz w:val="21"/>
        </w:rPr>
        <w:t>composition_manifest.json — a record of what was included in the build.</w:t>
      </w:r>
    </w:p>
    <w:p>
      <w:pPr>
        <w:pStyle w:val="ListBullet"/>
        <w:spacing w:after="50"/>
        <w:ind w:left="360" w:hanging="173"/>
      </w:pPr>
      <w:r>
        <w:t>README.txt - current build and deployment notes.</w:t>
      </w:r>
    </w:p>
    <w:p>
      <w:pPr>
        <w:pStyle w:val="ListBullet"/>
      </w:pPr>
      <w:r>
        <w:t>Concept Review routing is embedded in the generated game. Review PDFs remain in the Mastery Quests web library and are not copied into the ZIP.</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Publish the generated game HTML. The recipe, composition manifest, and README are faculty records and do not need to be hosted. When the report recommends a Concept Review, the game opens the corresponding PDF from the Mastery Quests web library.</w:t>
            </w:r>
          </w:p>
        </w:tc>
      </w:tr>
    </w:tbl>
    <w:p>
      <w:pPr>
        <w:spacing w:after="0"/>
      </w:pPr>
    </w:p>
    <w:p>
      <w:pPr>
        <w:pStyle w:val="Heading1"/>
      </w:pPr>
      <w:r>
        <w:t>2. Publish the game with GitHub Pages</w:t>
      </w:r>
    </w:p>
    <w:tbl>
      <w:tblPr>
        <w:tblW w:type="auto" w:w="0"/>
        <w:jc w:val="center"/>
        <w:tblLayout w:type="fixed"/>
        <w:tblLook w:firstColumn="1" w:firstRow="1" w:lastColumn="0" w:lastRow="0" w:noHBand="0" w:noVBand="1" w:val="04A0"/>
      </w:tblPr>
      <w:tblGrid>
        <w:gridCol w:w="792"/>
        <w:gridCol w:w="9000"/>
      </w:tblGrid>
      <w:tr>
        <w:trPr>
          <w:cantSplit/>
        </w:trP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Extract the ZIP</w:t>
              <w:br/>
              <w:t>Locate the generated HTML file. The other ZIP files are faculty build records.</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Rename it index.html</w:t>
            </w:r>
            <w:r>
              <w:br/>
            </w:r>
            <w:r>
              <w:rPr>
                <w:rFonts w:ascii="Aptos" w:hAnsi="Aptos"/>
                <w:color w:val="0A172A"/>
                <w:sz w:val="20"/>
              </w:rPr>
              <w:t>This is optional, but it gives you the cleanest public URL.</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Upload the game HTML</w:t>
              <w:br/>
              <w:t>Place index.html at the publishing root. No sibling Concept Review folder is required.</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Enable GitHub Pages</w:t>
            </w:r>
            <w:r>
              <w:br/>
            </w:r>
            <w:r>
              <w:rPr>
                <w:rFonts w:ascii="Aptos" w:hAnsi="Aptos"/>
                <w:color w:val="0A172A"/>
                <w:sz w:val="20"/>
              </w:rPr>
              <w:t>Repository Settings → Pages → Deploy from a branch → main → /(root) → Save.</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05</w:t>
            </w:r>
          </w:p>
        </w:tc>
        <w:tc>
          <w:tcPr>
            <w:tcW w:type="dxa" w:w="9000"/>
            <w:vAlign w:val="top"/>
            <w:shd w:fill="FFFFFF"/>
            <w:tcBorders>
              <w:bottom w:val="single" w:sz="6" w:color="DDE5EC"/>
            </w:tcBorders>
          </w:tcPr>
          <w:p>
            <w:pPr>
              <w:spacing w:after="80"/>
            </w:pPr>
            <w:r>
              <w:rPr>
                <w:rFonts w:ascii="Aptos" w:hAnsi="Aptos"/>
                <w:b/>
                <w:color w:val="062454"/>
                <w:sz w:val="22"/>
              </w:rPr>
              <w:t>Test the public URL</w:t>
              <w:br/>
              <w:t>Open the Pages URL in a private browser window and run the game before adding it to your LMS.</w:t>
            </w:r>
            <w:r/>
            <w:r>
              <w:rPr>
                <w:rFonts w:ascii="Aptos" w:hAnsi="Aptos"/>
                <w:color w:val="0A172A"/>
                <w:sz w:val="20"/>
              </w:rPr>
            </w:r>
          </w:p>
        </w:tc>
      </w:tr>
    </w:tbl>
    <w:p>
      <w:pPr>
        <w:spacing w:after="0"/>
      </w:pPr>
    </w:p>
    <w:p>
      <w:pPr>
        <w:pStyle w:val="Heading1"/>
      </w:pPr>
      <w:r>
        <w:t>3. Add the game to your LMS</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The hosted index.html is the game. Add its public HTTPS URL to your LMS as an external link, or embed it if your LMS and institution permit external iframe content. No second wrapper file is required. Concept Reviews open from the Mastery Quests web library when recommended.</w:t>
            </w:r>
          </w:p>
        </w:tc>
      </w:tr>
    </w:tbl>
    <w:p>
      <w:pPr>
        <w:spacing w:after="0"/>
      </w:pPr>
    </w:p>
    <w:p>
      <w:pPr>
        <w:ind w:left="288" w:right="288"/>
      </w:pPr>
      <w:r>
        <w:rPr>
          <w:rFonts w:ascii="Consolas" w:hAnsi="Consolas"/>
          <w:color w:val="0A172A"/>
          <w:sz w:val="17"/>
        </w:rPr>
        <w:t>&lt;iframe title="Mastery Quest game"</w:t>
        <w:br/>
        <w:t xml:space="preserve">  src="https://YOURUSERNAME.github.io/YOUR-REPO/"</w:t>
        <w:br/>
        <w:t xml:space="preserve">  width="100%"</w:t>
        <w:br/>
        <w:t xml:space="preserve">  height="900"</w:t>
        <w:br/>
        <w:t xml:space="preserve">  style="border:0;"</w:t>
        <w:br/>
        <w:t xml:space="preserve">  loading="lazy"</w:t>
        <w:br/>
        <w:t xml:space="preserve">  allowfullscreen&gt;</w:t>
        <w:br/>
        <w:t>&lt;/iframe&gt;</w:t>
      </w:r>
    </w:p>
    <w:p>
      <w:pPr>
        <w:pStyle w:val="ListBullet"/>
        <w:spacing w:after="50"/>
        <w:ind w:left="360" w:hanging="173"/>
      </w:pPr>
      <w:r>
        <w:rPr>
          <w:rFonts w:ascii="Aptos" w:hAnsi="Aptos"/>
          <w:color w:val="0A172A"/>
          <w:sz w:val="21"/>
        </w:rPr>
        <w:t>For a link, add the public GitHub Pages URL using your LMS's normal link or module tool. For an embed, open the LMS HTML/source editor if one is available.</w:t>
      </w:r>
    </w:p>
    <w:p>
      <w:pPr>
        <w:pStyle w:val="ListBullet"/>
        <w:spacing w:after="50"/>
        <w:ind w:left="360" w:hanging="173"/>
      </w:pPr>
      <w:r>
        <w:rPr>
          <w:rFonts w:ascii="Aptos" w:hAnsi="Aptos"/>
          <w:color w:val="0A172A"/>
          <w:sz w:val="21"/>
        </w:rPr>
        <w:t>For an embed, replace the example src with the public GitHub Pages game URL.</w:t>
      </w:r>
    </w:p>
    <w:p>
      <w:pPr>
        <w:pStyle w:val="ListBullet"/>
        <w:spacing w:after="50"/>
        <w:ind w:left="360" w:hanging="173"/>
      </w:pPr>
      <w:r>
        <w:rPr>
          <w:rFonts w:ascii="Aptos" w:hAnsi="Aptos"/>
          <w:color w:val="0A172A"/>
          <w:sz w:val="21"/>
        </w:rPr>
        <w:t>Use 900 pixels as a starting height and increase it if your LMS layout creates internal scrolling.</w:t>
      </w:r>
    </w:p>
    <w:p>
      <w:pPr>
        <w:pStyle w:val="ListBullet"/>
        <w:spacing w:after="50"/>
        <w:ind w:left="360" w:hanging="173"/>
      </w:pPr>
      <w:r>
        <w:rPr>
          <w:rFonts w:ascii="Aptos" w:hAnsi="Aptos"/>
          <w:color w:val="0A172A"/>
          <w:sz w:val="21"/>
        </w:rPr>
        <w:t>Save the LMS page and verify the activity in the learner/student view, when available, on desktop and mobile.</w:t>
      </w:r>
    </w:p>
    <w:p>
      <w:pPr>
        <w:pStyle w:val="ListBullet"/>
      </w:pPr>
      <w:r>
        <w:t>If the LMS or institution blocks external iframes, use the same public HTTPS URL as an external course link.</w:t>
      </w:r>
    </w:p>
    <w:p>
      <w:pPr>
        <w:pStyle w:val="Heading2"/>
        <w:pageBreakBefore/>
      </w:pPr>
      <w:r>
        <w:t>Before you assign it</w:t>
      </w:r>
    </w:p>
    <w:p>
      <w:pPr>
        <w:pStyle w:val="ListBullet"/>
        <w:spacing w:after="50"/>
        <w:ind w:left="360" w:hanging="173"/>
      </w:pPr>
      <w:r>
        <w:rPr>
          <w:rFonts w:ascii="Aptos" w:hAnsi="Aptos"/>
          <w:color w:val="0A172A"/>
          <w:sz w:val="21"/>
        </w:rPr>
        <w:t>Launch every mode you enabled.</w:t>
      </w:r>
    </w:p>
    <w:p>
      <w:pPr>
        <w:pStyle w:val="ListBullet"/>
        <w:spacing w:after="50"/>
        <w:ind w:left="360" w:hanging="173"/>
      </w:pPr>
      <w:r>
        <w:rPr>
          <w:rFonts w:ascii="Aptos" w:hAnsi="Aptos"/>
          <w:color w:val="0A172A"/>
          <w:sz w:val="21"/>
        </w:rPr>
        <w:t>Miss questions intentionally so you see setbacks and adaptive repair behavior.</w:t>
      </w:r>
    </w:p>
    <w:p>
      <w:pPr>
        <w:pStyle w:val="ListBullet"/>
        <w:spacing w:after="50"/>
        <w:ind w:left="360" w:hanging="173"/>
      </w:pPr>
      <w:r>
        <w:rPr>
          <w:rFonts w:ascii="Aptos" w:hAnsi="Aptos"/>
          <w:color w:val="0A172A"/>
          <w:sz w:val="21"/>
        </w:rPr>
        <w:t>Verify Timed Trial continues until the ten-minute clock expires.</w:t>
      </w:r>
    </w:p>
    <w:p>
      <w:pPr>
        <w:pStyle w:val="ListBullet"/>
        <w:spacing w:after="50"/>
        <w:ind w:left="360" w:hanging="173"/>
      </w:pPr>
      <w:r>
        <w:rPr>
          <w:rFonts w:ascii="Aptos" w:hAnsi="Aptos"/>
          <w:color w:val="0A172A"/>
          <w:sz w:val="21"/>
        </w:rPr>
        <w:t>Verify Exam Drill supports section navigation, revision, and checkpoint commitment with correctness hidden until commitment.</w:t>
      </w:r>
    </w:p>
    <w:p>
      <w:pPr>
        <w:pStyle w:val="ListBullet"/>
        <w:spacing w:after="50"/>
        <w:ind w:left="360" w:hanging="173"/>
      </w:pPr>
      <w:r>
        <w:t>Check graphs, mobile layout, result screens, Mastery Report, and any evidence students must submit.</w:t>
      </w:r>
    </w:p>
    <w:p>
      <w:pPr>
        <w:pStyle w:val="ListBullet"/>
        <w:spacing w:after="50"/>
        <w:ind w:left="360" w:hanging="173"/>
      </w:pPr>
      <w:r>
        <w:t>Confirm the selected artwork is recognizable, gameplay text remains readable, and Guide, hallway, Boss, Artifact, and mode images appear where configured.</w:t>
      </w:r>
    </w:p>
    <w:p>
      <w:pPr>
        <w:pStyle w:val="ListBullet"/>
      </w:pPr>
      <w:r>
        <w:t>When a meaningful weakness maps to an available review, open the recommended one-page Concept Review from the Mastery Quests web library and confirm the student can return to practice.</w:t>
      </w:r>
    </w:p>
    <w:p>
      <w:pPr>
        <w:pStyle w:val="ListBullet"/>
        <w:spacing w:after="50"/>
        <w:ind w:left="360" w:hanging="173"/>
      </w:pPr>
      <w:r>
        <w:t>Public polished games and the free manual template keep progress and activity data in the browser. Remote anonymous telemetry is OFF by default. The Composer offers an explicit optional operational telemetry build; operational telemetry is not research by default. Application telemetry does not intentionally include names, email addresses, LMS account identifiers, university identifiers or free-text responses. Learners choose whether to share local downloads through the course workflow.</w:t>
      </w:r>
    </w:p>
    <w:p>
      <w:r>
        <w:t>Current guidance: https://masteryquests.org/how-to/composer/ | Learning outcomes: https://masteryquests.org/how-to/learning-outcomes/ | Manual authoring and validation: https://masteryquests.org/downloads/resources/manual-faculty-guide.html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