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rPr>
          <w:color w:val="000000"/>
          <w:u w:val="none"/>
        </w:rP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Current architecture: Composer-generated games are self-contained browser HTML files. Official themes and optional faculty images are embedded in the package; Concept Review routing is embedded in the game, while the PDFs stay in the Mastery Quests web library. Remote collection is OFF by default; optional operational builds require explicit faculty configuration.</w:t>
            </w:r>
          </w:p>
        </w:tc>
      </w:tr>
    </w:tbl>
    <w:p>
      <w:pPr>
        <w:spacing w:after="0"/>
      </w:pPr>
    </w:p>
    <w:p>
      <w:pPr>
        <w:pStyle w:val="Heading1"/>
      </w:pPr>
      <w:r>
        <w:t>1. The learning model</w:t>
      </w:r>
    </w:p>
    <w:p>
      <w:r>
        <w:t>Mastery Quests combines retrieval practice, mode-specific feedback, adaptive question selection, staged support after errors, escalating difficulty, checkpoint encounters, and Mastery Report. When warranted, the report connects a meaningful weakness to a targeted one-page Concept Review before the student returns to practice.</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ten modes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cantSplit/>
        </w:trPr>
        <w:tc>
          <w:tcPr>
            <w:tcW w:type="dxa" w:w="1944"/>
            <w:vAlign w:val="top"/>
          </w:tcPr>
          <w:p>
            <w:r/>
            <w:r>
              <w:rPr>
                <w:b/>
                <w:color w:val="0B2D5C"/>
                <w:sz w:val="17"/>
              </w:rPr>
              <w:t>Exam Drill</w:t>
            </w:r>
          </w:p>
        </w:tc>
        <w:tc>
          <w:tcPr>
            <w:tcW w:type="dxa" w:w="4680"/>
            <w:vAlign w:val="top"/>
          </w:tcPr>
          <w:p>
            <w:r/>
            <w:r>
              <w:rPr>
                <w:b w:val="0"/>
                <w:sz w:val="17"/>
              </w:rPr>
              <w:t>Adaptive nine-question sections with review and revision before checkpoint commitment; correctness stays hidden while a section is active.</w:t>
            </w:r>
          </w:p>
        </w:tc>
        <w:tc>
          <w:tcPr>
            <w:tcW w:type="dxa" w:w="3240"/>
            <w:vAlign w:val="top"/>
          </w:tcPr>
          <w:p>
            <w:r/>
            <w:r>
              <w:rPr>
                <w:b w:val="0"/>
                <w:sz w:val="17"/>
              </w:rPr>
              <w:t>Use for section-based review and deliberate answer commitment.</w:t>
            </w:r>
          </w:p>
        </w:tc>
      </w:tr>
      <w:tr>
        <w:trPr>
          <w:cantSplit/>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pPr>
        <w:pStyle w:val="Heading1"/>
      </w:pPr>
      <w:r>
        <w:t>5. Mastery Report and Concept Reviews</w:t>
      </w:r>
    </w:p>
    <w:p>
      <w:r>
        <w:t>Mastery Report summarizes the evidence from the run and identifies the strongest and weakest signals across concepts or learning objectives and, where applicable, question forms or skills. It is diagnostic evidence, not a replacement for an aligned exam, and low-evidence runs should be interpreted cautiously.</w:t>
      </w:r>
    </w:p>
    <w:p>
      <w:pPr>
        <w:pStyle w:val="ListBullet"/>
        <w:spacing w:after="50"/>
        <w:ind w:left="360" w:hanging="173"/>
      </w:pPr>
      <w:r>
        <w:t>The production library provides one-page reviews across General Economics, Microeconomics, and Macroeconomics. Generated games embed only the routing they need; the PDFs stay centrally hosted in the Mastery Quests web library.</w:t>
      </w:r>
    </w:p>
    <w:p>
      <w:pPr>
        <w:pStyle w:val="ListBullet"/>
        <w:spacing w:after="50"/>
        <w:ind w:left="360" w:hanging="173"/>
      </w:pPr>
      <w:r>
        <w:t>When a meaningful weakness maps to an available review, the report can recommend the corresponding one-page Concept Review. A clean run may produce no recommendation. The student opens the PDF, reviews the core idea and worked example, then returns to targeted practice, Repair, or Bridge so later performance creates new evidence.</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Concept Reviews,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t>Standard Campaign and Legendary Mode support browser-local save/resume. Timed Trial, Exam Drill, Quiz, Unlimited Practice, Score Attack, Trial by Graph, Fading Fortune, and Risk &amp; Reward attempts do not resume after leaving the run.</w:t>
      </w:r>
    </w:p>
    <w:p>
      <w:pPr>
        <w:pStyle w:val="ListBullet"/>
        <w:spacing w:after="50"/>
        <w:ind w:left="360" w:hanging="173"/>
      </w:pPr>
      <w:r>
        <w:t>Public polished games and the free manual template keep progress and activity data in the browser. Remote anonymous telemetry is OFF by default. The Composer offers an explicit optional operational telemetry build; operational telemetry is not research by default. Application telemetry does not intentionally include names, email addresses, LMS account identifiers, university identifiers or free-text responses. Learners choose whether to share local downloads through the course workflow.</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LMS or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Build or select the experience</w:t>
      </w:r>
    </w:p>
    <w:tbl>
      <w:tblPr>
        <w:tblStyle w:val="TableGrid"/>
        <w:tblW w:type="auto" w:w="0"/>
        <w:jc w:val="center"/>
        <w:tblLook w:firstColumn="1" w:firstRow="1" w:lastColumn="0" w:lastRow="0" w:noHBand="0" w:noVBand="1" w:val="04A0"/>
      </w:tblPr>
      <w:tblGrid>
        <w:gridCol w:w="3389"/>
        <w:gridCol w:w="3389"/>
        <w:gridCol w:w="3389"/>
      </w:tblGrid>
      <w:tr>
        <w:trPr>
          <w:tblHeader/>
          <w:cantSplit/>
        </w:trP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rPr>
          <w:cantSplit/>
        </w:trPr>
        <w:tc>
          <w:tcPr>
            <w:tcW w:type="dxa" w:w="3389"/>
            <w:vAlign w:val="top"/>
          </w:tcPr>
          <w:p>
            <w:r/>
            <w:r>
              <w:rPr>
                <w:b/>
                <w:color w:val="0B2D5C"/>
                <w:sz w:val="18"/>
              </w:rPr>
              <w:t>Faculty Build Composer</w:t>
            </w:r>
          </w:p>
        </w:tc>
        <w:tc>
          <w:tcPr>
            <w:tcW w:type="dxa" w:w="3389"/>
            <w:vAlign w:val="top"/>
          </w:tcPr>
          <w:p>
            <w:r/>
            <w:r>
              <w:rPr>
                <w:b w:val="0"/>
                <w:sz w:val="18"/>
              </w:rPr>
              <w:t>You are creating an economics quest from the current library.</w:t>
            </w:r>
          </w:p>
        </w:tc>
        <w:tc>
          <w:tcPr>
            <w:tcW w:type="dxa" w:w="3389"/>
            <w:vAlign w:val="top"/>
          </w:tcPr>
          <w:p>
            <w:r>
              <w:t>Choose concepts and learning-outcome coverage first, then title, modes, checkpoint focus, Appearance, Readiness, and Generate. Use Brief, Standard, Full, or Custom coverage.</w:t>
            </w:r>
          </w:p>
        </w:tc>
      </w:tr>
      <w:tr>
        <w:trPr>
          <w:cantSplit/>
        </w:trPr>
        <w:tc>
          <w:tcPr>
            <w:tcW w:type="dxa" w:w="3389"/>
            <w:vAlign w:val="top"/>
          </w:tcPr>
          <w:p>
            <w:r/>
            <w:r>
              <w:rPr>
                <w:b/>
                <w:color w:val="0B2D5C"/>
                <w:sz w:val="18"/>
              </w:rPr>
              <w:t>Published quest library</w:t>
            </w:r>
          </w:p>
        </w:tc>
        <w:tc>
          <w:tcPr>
            <w:tcW w:type="dxa" w:w="3389"/>
            <w:vAlign w:val="top"/>
          </w:tcPr>
          <w:p>
            <w:r/>
            <w:r>
              <w:rPr>
                <w:b w:val="0"/>
                <w:sz w:val="18"/>
              </w:rPr>
              <w:t>A current game already matches the course unit.</w:t>
            </w:r>
          </w:p>
        </w:tc>
        <w:tc>
          <w:tcPr>
            <w:tcW w:type="dxa" w:w="3389"/>
            <w:vAlign w:val="top"/>
          </w:tcPr>
          <w:p>
            <w:r>
              <w:t>Select the game, assign an enabled mode, test the hosted game, and state the required evidence.</w:t>
            </w:r>
            <w:r>
              <w:rPr>
                <w:b w:val="0"/>
                <w:sz w:val="18"/>
              </w:rPr>
            </w:r>
          </w:p>
        </w:tc>
      </w:tr>
    </w:tbl>
    <w:p>
      <w:pPr>
        <w:pStyle w:val="Heading1"/>
      </w:pPr>
      <w:r>
        <w:t>8. Instructional use</w:t>
      </w:r>
    </w:p>
    <w:p>
      <w:pPr>
        <w:pStyle w:val="ListBullet"/>
        <w:spacing w:after="0"/>
        <w:ind w:left="360" w:hanging="173"/>
      </w:pPr>
      <w:r>
        <w:rPr>
          <w:rFonts w:ascii="Aptos" w:hAnsi="Aptos"/>
          <w:color w:val="0A172A"/>
          <w:sz w:val="21"/>
        </w:rPr>
        <w:t>Assign a specific mode rather than telling students simply to “play the game.”</w:t>
      </w:r>
    </w:p>
    <w:p>
      <w:pPr>
        <w:pStyle w:val="ListBullet"/>
        <w:spacing w:after="0"/>
        <w:ind w:left="360" w:hanging="173"/>
      </w:pPr>
      <w:r>
        <w:rPr>
          <w:rFonts w:ascii="Aptos" w:hAnsi="Aptos"/>
          <w:color w:val="0A172A"/>
          <w:sz w:val="21"/>
        </w:rPr>
        <w:t>Use Standard Campaign when the full game layer is part of the learning experience.</w:t>
      </w:r>
    </w:p>
    <w:p>
      <w:pPr>
        <w:pStyle w:val="ListBullet"/>
        <w:spacing w:after="0"/>
        <w:ind w:left="360" w:hanging="173"/>
      </w:pPr>
      <w:r>
        <w:rPr>
          <w:rFonts w:ascii="Aptos" w:hAnsi="Aptos"/>
          <w:color w:val="0A172A"/>
          <w:sz w:val="21"/>
        </w:rPr>
        <w:t>Use Exam Drill for section-based review, revision, and checkpoint commitment.</w:t>
      </w:r>
    </w:p>
    <w:p>
      <w:pPr>
        <w:pStyle w:val="ListBullet"/>
        <w:spacing w:after="0"/>
        <w:ind w:left="360" w:hanging="173"/>
      </w:pPr>
      <w:r>
        <w:rPr>
          <w:rFonts w:ascii="Aptos" w:hAnsi="Aptos"/>
          <w:color w:val="0A172A"/>
          <w:sz w:val="21"/>
        </w:rPr>
        <w:t>Use Timed Trial after students know the material and you want fluency under time.</w:t>
      </w:r>
    </w:p>
    <w:p>
      <w:pPr>
        <w:pStyle w:val="ListBullet"/>
        <w:spacing w:after="0"/>
        <w:ind w:left="360" w:hanging="173"/>
      </w:pPr>
      <w:r>
        <w:t>Use Legendary Mode as a later challenge; Score Attack for repeat practice; Quiz for assigned length; Unlimited Practice for open-ended work; Trial by Graph for graph analysis; Fading Fortune for timed-choice pressure; and Risk &amp; Reward for confidence-and-stakes decisions.</w:t>
      </w:r>
    </w:p>
    <w:p>
      <w:pPr>
        <w:pStyle w:val="ListBullet"/>
        <w:spacing w:after="0"/>
        <w:ind w:left="360" w:hanging="173"/>
      </w:pPr>
      <w:r>
        <w:rPr>
          <w:rFonts w:ascii="Aptos" w:hAnsi="Aptos"/>
          <w:color w:val="0A172A"/>
          <w:sz w:val="21"/>
        </w:rPr>
        <w:t>For low-stakes use, prefer completion or participation over raw speed or a single weakness label.</w:t>
      </w:r>
    </w:p>
    <w:p>
      <w:r>
        <w:t>Current guidance: https://masteryquests.org/how-to/composer/ | Learning outcomes: https://masteryquests.org/how-to/learning-outcomes/ | Manual authoring and validation: https://masteryquests.org/downloads/resources/manual-faculty-guide.html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