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4993A" w14:textId="77777777" w:rsidR="003C5374" w:rsidRDefault="00000000">
      <w:pPr>
        <w:keepLines/>
      </w:pPr>
      <w:r>
        <w:rPr>
          <w:noProof/>
        </w:rPr>
        <w:drawing>
          <wp:inline distT="0" distB="0" distL="0" distR="0" wp14:anchorId="642E24A6" wp14:editId="5940DA48">
            <wp:extent cx="1783080" cy="789780"/>
            <wp:effectExtent l="0" t="0" r="0" b="0"/>
            <wp:docPr id="1" name="Picture 1" descr="Mastery Ques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y-quests-logo.png"/>
                    <pic:cNvPicPr/>
                  </pic:nvPicPr>
                  <pic:blipFill>
                    <a:blip r:embed="rId8"/>
                    <a:stretch>
                      <a:fillRect/>
                    </a:stretch>
                  </pic:blipFill>
                  <pic:spPr>
                    <a:xfrm>
                      <a:off x="0" y="0"/>
                      <a:ext cx="1783080" cy="789780"/>
                    </a:xfrm>
                    <a:prstGeom prst="rect">
                      <a:avLst/>
                    </a:prstGeom>
                  </pic:spPr>
                </pic:pic>
              </a:graphicData>
            </a:graphic>
          </wp:inline>
        </w:drawing>
      </w:r>
    </w:p>
    <w:p>
      <w:pPr>
        <w:pStyle w:val="Eyebrow"/>
      </w:pPr>
      <w:r>
        <w:t>GAME-SPECIFIC FACULTY GUIDE</w:t>
      </w:r>
    </w:p>
    <w:p>
      <w:pPr>
        <w:pStyle w:val="Title"/>
      </w:pPr>
      <w:r>
        <w:t xml:space="preserve">The Long Run</w:t>
      </w:r>
    </w:p>
    <w:p>
      <w:pPr>
        <w:pStyle w:val="Subtitle"/>
      </w:pPr>
      <w:r>
        <w:t xml:space="preserve">A living-economy simulation built around aggregate demand, aggregate supply, policy, and long-run adjustment.</w:t>
      </w:r>
    </w:p>
    <w:p>
      <w:pPr>
        <w:pStyle w:val="Heading1"/>
      </w:pPr>
      <w:r>
        <w:t xml:space="preserve">Why This Game Exists</w:t>
      </w:r>
    </w:p>
    <w:p>
      <w:r>
        <w:t xml:space="preserve">This was the first game where I really wanted to try animation. I needed a way to show the economics without going back over concepts that other games had already covered, so I started thinking about changes students could watch happen across an economy. That led me toward macroeconomics and changes in aggregate demand and aggregate supply. I also wanted the experience to feel familiar to students who play mobile games: make a choice, watch the world change, then deal with what happens next.</w:t>
      </w:r>
    </w:p>
    <w:p>
      <w:r>
        <w:t xml:space="preserve">I initially thought about an 8-bit style because it seemed simple enough to build. After several iterations, I moved to 16-bit. That gave me smoother animation, more recognizable people and vehicles, and clearer differences between economic conditions. Factories, shops, streets, and public activity became easier to read. Students could watch a construction project move toward completion instead of only reading that investment had increased. The visual style grew out of that need to make economic change visible.</w:t>
      </w:r>
    </w:p>
    <w:p>
      <w:r>
        <w:t xml:space="preserve">I wanted those changes to add up. Earlier investment can leave completed workshops; public improvements can remain; an expanded factory can still be there when spending slows. Other paths bring idle workers, disrupted freight, or pressure on households. By the end, students have watched their choices help produce growth, stagnation, overheating, or recovery. The AD–AS model comes afterward to explain the economy they have already seen.</w:t>
      </w:r>
    </w:p>
    <w:p>
      <w:pPr>
        <w:pStyle w:val="Heading1"/>
      </w:pPr>
      <w:r>
        <w:t xml:space="preserve">What Students Do</w:t>
      </w:r>
    </w:p>
    <w:p>
      <w:r>
        <w:t xml:space="preserve">Students guide Common Ground through six years, making five decisions. Year 1 begins at potential output and offers three opening events: “Consumer confidence surges,” “Energy supplies are disrupted,” or “A productivity breakthrough.” Their effects begin arriving in Year 2, when students choose expansionary fiscal policy, contractionary fiscal policy, or no fiscal change. In Year 3, they lower interest rates, raise interest rates, or hold rates steady.</w:t>
      </w:r>
    </w:p>
    <w:p>
      <w:r>
        <w:t xml:space="preserve">Year 4 brings another event: “A housing and investment boom,” “Global commodity prices surge,” or “Infrastructure and technology improve.” Year 5 asks students to “Support output and employment,” “Prioritize inflation control,” or “Allow adjustment.” Year 6 reveals the accumulated outcome. These choices build one economic history, with earlier decisions still working through the economy when the next choice appears.</w:t>
      </w:r>
    </w:p>
    <w:p>
      <w:r>
        <w:t xml:space="preserve">After each decision, time passes and the city changes before the next prompt. Students first watch the new conditions, then receive an explanation of the consequences. The dashboard tracks real GDP, inflation, unemployment, and interest rates. The later model adds price level and potential GDP. Encourage students to notice both the visible changes and the indicators; a quieter factory and a higher inflation rate can belong to the same economy.</w:t>
      </w:r>
    </w:p>
    <w:p>
      <w:pPr>
        <w:pStyle w:val="Heading1"/>
      </w:pPr>
      <w:r>
        <w:t xml:space="preserve">What the Game Is Really Teaching</w:t>
      </w:r>
    </w:p>
    <w:p>
      <w:r>
        <w:t xml:space="preserve">The opening choice gives the class a reason to distinguish spending from the ability to produce. A confidence surge strengthens aggregate demand. Shops and traffic become busier as output rises and unemployment falls, but the extra spending also creates price pressure. The later housing and investment boom can reinforce demand, with its strength affected by borrowing conditions already established in the run. The consequences depend on the economy’s distance from capacity and on the policies that follow.</w:t>
      </w:r>
    </w:p>
    <w:p>
      <w:r>
        <w:t xml:space="preserve">An energy disruption creates a different problem. Higher production costs reduce short-run aggregate supply, so output can weaken while inflation and unemployment rise together. Freight and factory stress help students recognize why higher prices need not signal a spending boom. A later commodity-price surge can renew that pressure. Students who respond only to unemployment or only to inflation may find that improving one condition makes the other harder to manage.</w:t>
      </w:r>
    </w:p>
    <w:p>
      <w:r>
        <w:t xml:space="preserve">The productivity opening offers another sequence. Production becomes more efficient first, and additional productive capacity arrives in later years. This separates an improvement in short-run aggregate supply from growth in potential output, represented by LRAS. Infrastructure and technology improvements also support supply and capacity over time, although both can begin improving in the same year on that path. The factory annex gives students a durable sign of expanded capacity; current output can still rise or fall around that capacity.</w:t>
      </w:r>
    </w:p>
    <w:p>
      <w:r>
        <w:t xml:space="preserve">The Year 2 fiscal choice starts a policy history of its own. Expansion increases public demand and supports activity while adding budget pressure. Later financing pressure raises interest rates and restrains some business investment, illustrating crowding out. Students may therefore see public work strengthen before encountering a constraint on investment. Contraction reduces demand and budget pressure, potentially easing price pressure at the cost of output and employment. Choosing no fiscal change leaves earlier forces in motion.</w:t>
      </w:r>
    </w:p>
    <w:p>
      <w:r>
        <w:t xml:space="preserve">Year 3 makes timing especially clear. An interest-rate change occurs immediately, while its effects on investment and aggregate demand arrive later. A rate cut continues to influence Years 4 and 5; a rate increase restrains investment and spending over those years. Construction, financed purchases, and business activity respond through borrowing conditions. Ask students to separate the moment a policy is chosen from the years in which its consequences appear. A rate cut cannot instantly produce a completed building.</w:t>
      </w:r>
    </w:p>
    <w:p>
      <w:r>
        <w:t xml:space="preserve">By Year 5, students must choose which pressure deserves attention. Supporting output and employment adds demand and budget pressure; prioritizing inflation control cools demand and can weaken output and employment. Allowing adjustment adds no new demand intervention, but wages, costs, investment, and capacity continue changing. None of these responses is universally correct. Students need to explain what problem their chosen response addresses and what cost they accept.</w:t>
      </w:r>
    </w:p>
    <w:p>
      <w:r>
        <w:t xml:space="preserve">Across the run, wages and costs respond to output gaps, supply pressures ease, and earlier investment gradually contributes to productive capacity. A new year does not wipe away the previous one. This adjustment through time gives The Long Run its organizing idea: the final economy reflects a sequence of interacting choices rather than the last button pressed.</w:t>
      </w:r>
    </w:p>
    <w:p>
      <w:r>
        <w:t xml:space="preserve">The economy is a simplified instructional model. Its numeric values and visual responses illustrate macroeconomic mechanisms; they are not empirical forecasts or calibrated policy estimates.</w:t>
      </w:r>
    </w:p>
    <w:p>
      <w:pPr>
        <w:pStyle w:val="Heading1"/>
        <w:pageBreakBefore/>
      </w:pPr>
      <w:r>
        <w:t xml:space="preserve">Reading the Changing City</w:t>
      </w:r>
    </w:p>
    <w:p>
      <w:r>
        <w:t xml:space="preserve">The city translates realized economic conditions into activity students can inspect. Stronger consumer demand brings shopping, store visits, and passenger traffic. Labor conditions appear in commuting and idle workers. Factory machinery, moving output, loading, and freight convey production, while improved productivity can strengthen factory efficiency without an equivalent consumption boom. Public workers, repairs, footways, and a bus shelter show government demand and accumulated improvements.</w:t>
      </w:r>
    </w:p>
    <w:p>
      <w:r>
        <w:t xml:space="preserve">During supply stress, freight becomes slower or scarcer, loading and production weaken, and households face pressure. Grocery and fuel signs make price changes visible. Use the dashboard for exact inflation and output readings, and the final model for the price level. The people and vehicles are clues to economic conditions, not a numerical count of employment or GDP.</w:t>
      </w:r>
    </w:p>
    <w:p>
      <w:r>
        <w:t xml:space="preserve">The economy remembers. Private construction can progress from foundation to frame to walls and completed workshops. Public improvements accumulate, and capacity gains can leave a permanent factory annex. Later weakness does not erase those assets. Construction makes the passage from investment toward productive capacity visible, while the model carries investment’s gradual contribution to capacity across years. Finishing an animation is not a separate economic event.</w:t>
      </w:r>
    </w:p>
    <w:p>
      <w:pPr>
        <w:keepNext/>
        <w:jc w:val="center"/>
        <w:keepNext/>
      </w:pPr>
      <w:r>
        <w:drawing>
          <wp:inline xmlns:a="http://schemas.openxmlformats.org/drawingml/2006/main" xmlns:pic="http://schemas.openxmlformats.org/drawingml/2006/picture">
            <wp:extent cx="3154680" cy="1774508"/>
            <wp:docPr id="2" name="Common Ground Year 3" descr="Year 3 city with private construction in progress" title="Starhaven crowded midway"/>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154680" cy="1774508"/>
                    </a:xfrm>
                    <a:prstGeom prst="rect"/>
                  </pic:spPr>
                </pic:pic>
              </a:graphicData>
            </a:graphic>
          </wp:inline>
        </w:drawing>
      </w:r>
      <w:r>
        <w:t xml:space="preserve">  </w:t>
      </w:r>
      <w:r>
        <w:drawing>
          <wp:inline xmlns:a="http://schemas.openxmlformats.org/drawingml/2006/main" xmlns:pic="http://schemas.openxmlformats.org/drawingml/2006/picture">
            <wp:extent cx="3154680" cy="1774508"/>
            <wp:docPr id="3" name="Common Ground Year 6" descr="Year 6 city with completed workshops, public improvements, and factory annex" title="Starhaven premium operation"/>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154680" cy="1774508"/>
                    </a:xfrm>
                    <a:prstGeom prst="rect"/>
                  </pic:spPr>
                </pic:pic>
              </a:graphicData>
            </a:graphic>
          </wp:inline>
        </w:drawing>
      </w:r>
    </w:p>
    <w:p>
      <w:pPr>
        <w:pStyle w:val="Caption"/>
      </w:pPr>
      <w:r>
        <w:t xml:space="preserve">Year 3, left, and Year 6, right, from the same run. The construction site at lower right becomes completed workshops; public improvements and the factory annex remain. The path combines a productivity breakthrough, fiscal expansion, a rate cut, a housing and investment boom, and inflation control.</w:t>
      </w:r>
    </w:p>
    <w:p>
      <w:r>
        <w:t xml:space="preserve">In this comparison, real GDP falls between Years 5 and 6 as the final policy cools demand, yet the completed assets remain. Ask students what that difference reveals about current activity and productive capacity. Because several choices shape these images, use replay to investigate the effect of changing just one decision.</w:t>
      </w:r>
    </w:p>
    <w:p>
      <w:pPr>
        <w:pStyle w:val="Heading1"/>
      </w:pPr>
      <w:r>
        <w:t xml:space="preserve">The Educational Loop</w:t>
      </w:r>
    </w:p>
    <w:p>
      <w:r>
        <w:t xml:space="preserve">At Year 6, “The economy remembers” brings together the path and its outcome. “What happened?” reviews all six years. “Why did it happen economically?” explains mechanisms from that run, including shocks, policy effects, lags, productivity, and adjustment. “Can you use it somewhere else?” asks students to apply one mechanism to a new situation. Feedback supports independent learning even when an instructor is not present.</w:t>
      </w:r>
    </w:p>
    <w:p>
      <w:r>
        <w:t xml:space="preserve">The seven possible profiles are Stagflation Pressure, Overheated Economy, Stalled Economy, Productivity-Led Growth, Policy-Driven Recovery, Fragile Recovery, and Balanced Expansion. These summarize the history; ask students to account for the condition they reached rather than rank the labels.</w:t>
      </w:r>
    </w:p>
    <w:p>
      <w:r>
        <w:rPr>
          <w:b/>
        </w:rPr>
        <w:t xml:space="preserve">Experience → Consequence → Economic Explanation → Formalization → Transfer</w:t>
      </w:r>
    </w:p>
    <w:p>
      <w:r>
        <w:t xml:space="preserve">The game places transfer feedback before the graph reveal. After formalization, faculty can return to that application or use replay to test students’ explanations.</w:t>
      </w:r>
    </w:p>
    <w:p>
      <w:pPr>
        <w:pStyle w:val="Heading1"/>
        <w:pageBreakBefore/>
      </w:pPr>
      <w:r>
        <w:t xml:space="preserve">Bringing in the AD–AS Model</w:t>
      </w:r>
    </w:p>
    <w:p>
      <w:r>
        <w:t xml:space="preserve">After submitting the transfer answer, students can open “See the model behind your economy.” Both correct and incorrect answers unlock the model after feedback. The six year buttons display AD, SRAS, LRAS, equilibrium output, price level, and potential output from the actual run. The graph uses the same economic history that produced the city and indicators. Selecting an earlier year changes the graph; the city remains at its Year 6 state.</w:t>
      </w:r>
    </w:p>
    <w:p>
      <w:r>
        <w:t xml:space="preserve">The city is the lived version of the model, and the graph is its formal representation. Stronger spending connects busier shops and production to a rightward AD shift. Energy disruption connects freight and factory stress to a leftward SRAS shift. Greater productivity supports supply, while growing potential output moves LRAS right. Durable additions help students recognize the difference between producing more this year and being able to produce more over time.</w:t>
      </w:r>
    </w:p>
    <w:p>
      <w:pPr>
        <w:pStyle w:val="ListNumber"/>
        <w:keepNext/>
        <w:numPr>
          <w:ilvl w:val="0"/>
          <w:numId w:val="24"/>
        </w:numPr>
      </w:pPr>
      <w:r>
        <w:t xml:space="preserve">Before opening the model, ask students what they noticed in the city. Have them identify whether the event first affected spending, production costs, or productive capacity.</w:t>
      </w:r>
    </w:p>
    <w:p>
      <w:pPr>
        <w:pStyle w:val="ListNumber"/>
        <w:keepNext/>
        <w:numPr>
          <w:ilvl w:val="0"/>
          <w:numId w:val="24"/>
        </w:numPr>
      </w:pPr>
      <w:r>
        <w:t xml:space="preserve">Open the relevant year and compare it with the preceding snapshot. Locate AD, SRAS, and LRAS, then relate their changes to equilibrium output and price level.</w:t>
      </w:r>
    </w:p>
    <w:p>
      <w:pPr>
        <w:pStyle w:val="ListNumber"/>
        <w:keepNext/>
        <w:numPr>
          <w:ilvl w:val="0"/>
          <w:numId w:val="24"/>
        </w:numPr>
      </w:pPr>
      <w:r>
        <w:t xml:space="preserve">Move forward one year. Ask which effects came from the latest choice and which were still arriving from earlier decisions. Use the monetary years or fiscal expansion to discuss lags.</w:t>
      </w:r>
    </w:p>
    <w:p>
      <w:pPr>
        <w:pStyle w:val="ListNumber"/>
        <w:keepNext/>
        <w:numPr>
          <w:ilvl w:val="0"/>
          <w:numId w:val="24"/>
        </w:numPr>
      </w:pPr>
      <w:r>
        <w:t xml:space="preserve">Follow a productivity path across several years. Distinguish the initial supply improvement from later capacity gains, then reconstruct the Year 6 economy from the full history.</w:t>
      </w:r>
    </w:p>
    <w:p>
      <w:r>
        <w:t xml:space="preserve">Annual graph changes combine shocks, policy, ordinary price adjustment, and earlier effects still unfolding. A snapshot is therefore the net result for that year. Students should use the dated explanations to interpret it, rather than attribute every curve movement to the most recent choice alone.</w:t>
      </w:r>
    </w:p>
    <w:p>
      <w:pPr>
        <w:pStyle w:val="Heading1"/>
      </w:pPr>
      <w:r>
        <w:t xml:space="preserve">Using It in Class</w:t>
      </w:r>
    </w:p>
    <w:p>
      <w:pPr>
        <w:pStyle w:val="Heading2"/>
      </w:pPr>
      <w:r>
        <w:t xml:space="preserve">Before formal AD–AS instruction</w:t>
      </w:r>
    </w:p>
    <w:p>
      <w:r>
        <w:t xml:space="preserve">Let students run the city first and describe what changed without naming curves. Save their observations, then use the built-in model to introduce AD, SRAS, and LRAS through events they recognize.</w:t>
      </w:r>
    </w:p>
    <w:p>
      <w:pPr>
        <w:pStyle w:val="Heading2"/>
      </w:pPr>
      <w:r>
        <w:t xml:space="preserve">During AD–AS instruction</w:t>
      </w:r>
    </w:p>
    <w:p>
      <w:r>
        <w:t xml:space="preserve">Stop before the next decision and ask whether the change mainly concerns demand, short-run supply, or capacity. Record predictions for the curves and revisit those years after the final model unlocks. Pause city motion if students need a still view; reduced-motion settings also support a static presentation.</w:t>
      </w:r>
    </w:p>
    <w:p>
      <w:pPr>
        <w:pStyle w:val="Heading2"/>
      </w:pPr>
      <w:r>
        <w:t xml:space="preserve">Policy and economic growth</w:t>
      </w:r>
    </w:p>
    <w:p>
      <w:r>
        <w:t xml:space="preserve">Use the fiscal and monetary years to compare immediate decisions with delayed consequences. For growth, follow construction and the factory annex, then ask whether higher actual GDP reflects stronger current demand, greater potential output, or both.</w:t>
      </w:r>
    </w:p>
    <w:p>
      <w:pPr>
        <w:pStyle w:val="Heading2"/>
      </w:pPr>
      <w:r>
        <w:t xml:space="preserve">After instruction</w:t>
      </w:r>
    </w:p>
    <w:p>
      <w:r>
        <w:t xml:space="preserve">Give students a completed run and ask them to reconstruct its curve movements. A short explanation should connect an early choice, a delayed effect, and the final outcome, using the city and annual graph as evidence.</w:t>
      </w:r>
    </w:p>
    <w:p>
      <w:pPr>
        <w:pStyle w:val="Heading2"/>
        <w:pageBreakBefore/>
      </w:pPr>
      <w:r>
        <w:t xml:space="preserve">Replay and comparison</w:t>
      </w:r>
    </w:p>
    <w:p>
      <w:r>
        <w:t xml:space="preserve">After the transfer feedback, students can restart. Keep the opening shock the same and change one policy choice, or hold policies constant and change the shock. Predict what will change first, then compare city activity, GDP, inflation, unemployment, signs of investment, potential output, and the Year 6 profile. This is counterfactual macroeconomic analysis: students test an explanation of why the economy followed a particular path.</w:t>
      </w:r>
    </w:p>
    <w:p>
      <w:pPr>
        <w:pStyle w:val="Heading1"/>
      </w:pPr>
      <w:r>
        <w:t xml:space="preserve">Questions to Consider</w:t>
      </w:r>
    </w:p>
    <w:p>
      <w:r>
        <w:t xml:space="preserve">Select any of these prompts for discussion or a short reflection.</w:t>
      </w:r>
    </w:p>
    <w:p>
      <w:pPr>
        <w:pStyle w:val="ListNumber"/>
        <w:keepNext/>
        <w:numPr>
          <w:ilvl w:val="0"/>
          <w:numId w:val="25"/>
        </w:numPr>
      </w:pPr>
      <w:r>
        <w:t xml:space="preserve">What did you notice in the city before opening the model, and which curve movement helped explain it?</w:t>
      </w:r>
    </w:p>
    <w:p>
      <w:pPr>
        <w:pStyle w:val="ListNumber"/>
        <w:keepNext/>
        <w:numPr>
          <w:ilvl w:val="0"/>
          <w:numId w:val="25"/>
        </w:numPr>
      </w:pPr>
      <w:r>
        <w:t xml:space="preserve">How would a consumer-confidence surge look different from an energy disruption? Which indicator would help you distinguish them?</w:t>
      </w:r>
    </w:p>
    <w:p>
      <w:pPr>
        <w:pStyle w:val="ListNumber"/>
        <w:keepNext/>
        <w:numPr>
          <w:ilvl w:val="0"/>
          <w:numId w:val="25"/>
        </w:numPr>
      </w:pPr>
      <w:r>
        <w:t xml:space="preserve">Why can an energy shock raise both inflation and unemployment?</w:t>
      </w:r>
    </w:p>
    <w:p>
      <w:pPr>
        <w:pStyle w:val="ListNumber"/>
        <w:keepNext/>
        <w:numPr>
          <w:ilvl w:val="0"/>
          <w:numId w:val="25"/>
        </w:numPr>
      </w:pPr>
      <w:r>
        <w:t xml:space="preserve">What happened between your interest-rate decision and the later changes in investment or construction?</w:t>
      </w:r>
    </w:p>
    <w:p>
      <w:pPr>
        <w:pStyle w:val="ListNumber"/>
        <w:keepNext/>
        <w:numPr>
          <w:ilvl w:val="0"/>
          <w:numId w:val="25"/>
        </w:numPr>
      </w:pPr>
      <w:r>
        <w:t xml:space="preserve">Which choice affected potential output, and how did the city and LRAS make that change visible?</w:t>
      </w:r>
    </w:p>
    <w:p>
      <w:pPr>
        <w:pStyle w:val="ListNumber"/>
        <w:keepNext/>
        <w:numPr>
          <w:ilvl w:val="0"/>
          <w:numId w:val="25"/>
        </w:numPr>
      </w:pPr>
      <w:r>
        <w:t xml:space="preserve">Why can a project begin in one year while investment’s contribution to productive capacity unfolds over several years?</w:t>
      </w:r>
    </w:p>
    <w:p>
      <w:pPr>
        <w:pStyle w:val="ListNumber"/>
        <w:keepNext/>
        <w:numPr>
          <w:ilvl w:val="0"/>
          <w:numId w:val="25"/>
        </w:numPr>
      </w:pPr>
      <w:r>
        <w:t xml:space="preserve">Which Year 6 profile did you reach, and which two earlier decisions best explain it?</w:t>
      </w:r>
    </w:p>
    <w:p>
      <w:pPr>
        <w:pStyle w:val="ListNumber"/>
        <w:keepNext/>
        <w:numPr>
          <w:ilvl w:val="0"/>
          <w:numId w:val="25"/>
        </w:numPr>
      </w:pPr>
      <w:r>
        <w:t xml:space="preserve">Which single choice would you change on replay? Predict the first visible effect and one consequence that would take longer.</w:t>
      </w:r>
    </w:p>
    <w:p>
      <w:pPr>
        <w:pStyle w:val="Heading1"/>
      </w:pPr>
      <w:r>
        <w:t xml:space="preserve">Common Misconceptions</w:t>
      </w:r>
    </w:p>
    <w:p>
      <w:pPr>
        <w:pStyle w:val="ListBullet"/>
        <w:numPr>
          <w:ilvl w:val="0"/>
          <w:numId w:val="23"/>
        </w:numPr>
      </w:pPr>
      <w:r>
        <w:t xml:space="preserve">“Higher inflation always means stronger demand.” An adverse supply shock can raise prices while reducing output and employment.</w:t>
      </w:r>
    </w:p>
    <w:p>
      <w:pPr>
        <w:pStyle w:val="ListBullet"/>
        <w:numPr>
          <w:ilvl w:val="0"/>
          <w:numId w:val="23"/>
        </w:numPr>
      </w:pPr>
      <w:r>
        <w:t xml:space="preserve">“A rate cut increases investment immediately.” Rates change first; investment and demand respond in later years.</w:t>
      </w:r>
    </w:p>
    <w:p>
      <w:pPr>
        <w:pStyle w:val="ListBullet"/>
        <w:numPr>
          <w:ilvl w:val="0"/>
          <w:numId w:val="23"/>
        </w:numPr>
      </w:pPr>
      <w:r>
        <w:t xml:space="preserve">“Government spending affects only the current year.” Fiscal expansion has continuing demand effects and later financing pressure that can restrain investment.</w:t>
      </w:r>
    </w:p>
    <w:p>
      <w:pPr>
        <w:pStyle w:val="ListBullet"/>
        <w:numPr>
          <w:ilvl w:val="0"/>
          <w:numId w:val="23"/>
        </w:numPr>
      </w:pPr>
      <w:r>
        <w:t xml:space="preserve">“Completed projects disappear when the economy weakens.” Workshops, public improvements, and the factory annex can remain while activity slows.</w:t>
      </w:r>
    </w:p>
    <w:p>
      <w:pPr>
        <w:pStyle w:val="ListBullet"/>
        <w:numPr>
          <w:ilvl w:val="0"/>
          <w:numId w:val="23"/>
        </w:numPr>
      </w:pPr>
      <w:r>
        <w:t xml:space="preserve">“Higher real GDP means productive capacity increased.” Demand can raise current output without moving LRAS; productivity and investment can expand capacity over time.</w:t>
      </w:r>
    </w:p>
    <w:p>
      <w:pPr>
        <w:pStyle w:val="ListBullet"/>
        <w:numPr>
          <w:ilvl w:val="0"/>
          <w:numId w:val="23"/>
        </w:numPr>
      </w:pPr>
      <w:r>
        <w:t xml:space="preserve">“One policy response works for every shock.” The initial problem, earlier choices, and the cost of addressing inflation or unemployment all matter.</w:t>
      </w:r>
    </w:p>
    <w:p>
      <w:r>
        <w:t xml:space="preserve">General teaching and implementation resources are available at </w:t>
      </w:r>
      <w:hyperlink r:id="rId15">
        <w:r>
          <w:rPr>
            <w:color w:val="0F345E"/>
            <w:u w:val="single"/>
          </w:rPr>
          <w:t>Mastery Quests Faculty Resources</w:t>
        </w:r>
      </w:hyperlink>
      <w:r>
        <w:t>.</w:t>
      </w:r>
    </w:p>
    <w:sectPr w:rsidR="003C5374" w:rsidSect="00034616">
      <w:headerReference w:type="default" r:id="rId11"/>
      <w:footerReference w:type="default" r:id="rId12"/>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17AE9" w14:textId="77777777" w:rsidR="004A69DE" w:rsidRDefault="004A69DE">
      <w:pPr>
        <w:spacing w:after="0" w:line="240" w:lineRule="auto"/>
      </w:pPr>
      <w:r>
        <w:separator/>
      </w:r>
    </w:p>
  </w:endnote>
  <w:endnote w:type="continuationSeparator" w:id="0">
    <w:p w14:paraId="2BDC7106" w14:textId="77777777" w:rsidR="004A69DE" w:rsidRDefault="004A6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59E3F" w14:textId="77777777" w:rsidR="003C5374" w:rsidRDefault="00000000">
    <w:pPr>
      <w:pStyle w:val="Footer"/>
      <w:jc w:val="center"/>
    </w:pPr>
    <w:r>
      <w:rPr>
        <w:rFonts w:ascii="Aptos" w:hAnsi="Aptos"/>
        <w:sz w:val="16"/>
      </w:rPr>
      <w:t xml:space="preserve">masteryquests.org  •  The Long Run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76C9D" w14:textId="77777777" w:rsidR="004A69DE" w:rsidRDefault="004A69DE">
      <w:pPr>
        <w:spacing w:after="0" w:line="240" w:lineRule="auto"/>
      </w:pPr>
      <w:r>
        <w:separator/>
      </w:r>
    </w:p>
  </w:footnote>
  <w:footnote w:type="continuationSeparator" w:id="0">
    <w:p w14:paraId="181D6E59" w14:textId="77777777" w:rsidR="004A69DE" w:rsidRDefault="004A69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8AC50" w14:textId="77777777" w:rsidR="003C5374" w:rsidRDefault="00000000">
    <w:pPr>
      <w:pStyle w:val="Header"/>
      <w:jc w:val="right"/>
    </w:pPr>
    <w:r>
      <w:rPr>
        <w:b/>
        <w:color w:val="000000"/>
        <w:sz w:val="16"/>
      </w:rPr>
      <w:t>MASTERY QUESTS  •  FACULTY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1B61"/>
    <w:multiLevelType w:val="singleLevel"/>
    <w:tmpl w:val="F716A710"/>
    <w:lvl w:ilvl="0">
      <w:start w:val="1"/>
      <w:numFmt w:val="bullet"/>
      <w:lvlText w:val="•"/>
      <w:lvlJc w:val="left"/>
      <w:pPr>
        <w:ind w:left="360" w:hanging="360"/>
      </w:pPr>
    </w:lvl>
  </w:abstractNum>
  <w:abstractNum w:abstractNumId="10" w15:restartNumberingAfterBreak="0">
    <w:nsid w:val="00001B62"/>
    <w:multiLevelType w:val="singleLevel"/>
    <w:tmpl w:val="0E60D088"/>
    <w:lvl w:ilvl="0">
      <w:start w:val="1"/>
      <w:numFmt w:val="decimal"/>
      <w:lvlText w:val="%1."/>
      <w:lvlJc w:val="left"/>
      <w:pPr>
        <w:ind w:left="360" w:hanging="360"/>
      </w:pPr>
    </w:lvl>
  </w:abstractNum>
  <w:abstractNum w:abstractNumId="11" w15:restartNumberingAfterBreak="0">
    <w:nsid w:val="00001B63"/>
    <w:multiLevelType w:val="singleLevel"/>
    <w:tmpl w:val="A9B8AC7E"/>
    <w:lvl w:ilvl="0">
      <w:start w:val="1"/>
      <w:numFmt w:val="decimal"/>
      <w:lvlText w:val="%1."/>
      <w:lvlJc w:val="left"/>
      <w:pPr>
        <w:ind w:left="360" w:hanging="360"/>
      </w:pPr>
    </w:lvl>
  </w:abstractNum>
  <w:abstractNum w:abstractNumId="12" w15:restartNumberingAfterBreak="0">
    <w:nsid w:val="00001B64"/>
    <w:multiLevelType w:val="singleLevel"/>
    <w:tmpl w:val="2F42777A"/>
    <w:lvl w:ilvl="0">
      <w:start w:val="1"/>
      <w:numFmt w:val="bullet"/>
      <w:lvlText w:val="•"/>
      <w:lvlJc w:val="left"/>
      <w:pPr>
        <w:ind w:left="360" w:hanging="360"/>
      </w:pPr>
    </w:lvl>
  </w:abstractNum>
  <w:abstractNum w:abstractNumId="13" w15:restartNumberingAfterBreak="0">
    <w:nsid w:val="00001B65"/>
    <w:multiLevelType w:val="singleLevel"/>
    <w:tmpl w:val="D8E41D98"/>
    <w:lvl w:ilvl="0">
      <w:start w:val="1"/>
      <w:numFmt w:val="decimal"/>
      <w:lvlText w:val="%1."/>
      <w:lvlJc w:val="left"/>
      <w:pPr>
        <w:ind w:left="360" w:hanging="360"/>
      </w:pPr>
    </w:lvl>
  </w:abstractNum>
  <w:abstractNum w:abstractNumId="14" w15:restartNumberingAfterBreak="0">
    <w:nsid w:val="00001B66"/>
    <w:multiLevelType w:val="singleLevel"/>
    <w:tmpl w:val="B7CCA0DA"/>
    <w:lvl w:ilvl="0">
      <w:start w:val="1"/>
      <w:numFmt w:val="decimal"/>
      <w:lvlText w:val="%1."/>
      <w:lvlJc w:val="left"/>
      <w:pPr>
        <w:ind w:left="360" w:hanging="360"/>
      </w:pPr>
    </w:lvl>
  </w:abstractNum>
  <w:abstractNum w:abstractNumId="15" w15:restartNumberingAfterBreak="0">
    <w:nsid w:val="00001B67"/>
    <w:multiLevelType w:val="singleLevel"/>
    <w:tmpl w:val="6CA2E784"/>
    <w:lvl w:ilvl="0">
      <w:start w:val="1"/>
      <w:numFmt w:val="bullet"/>
      <w:lvlText w:val="•"/>
      <w:lvlJc w:val="left"/>
      <w:pPr>
        <w:ind w:left="360" w:hanging="360"/>
      </w:pPr>
    </w:lvl>
  </w:abstractNum>
  <w:abstractNum w:abstractNumId="16" w15:restartNumberingAfterBreak="0">
    <w:nsid w:val="00001B68"/>
    <w:multiLevelType w:val="singleLevel"/>
    <w:tmpl w:val="B62C611E"/>
    <w:lvl w:ilvl="0">
      <w:start w:val="1"/>
      <w:numFmt w:val="decimal"/>
      <w:lvlText w:val="%1."/>
      <w:lvlJc w:val="left"/>
      <w:pPr>
        <w:ind w:left="360" w:hanging="360"/>
      </w:pPr>
    </w:lvl>
  </w:abstractNum>
  <w:abstractNum w:abstractNumId="17" w15:restartNumberingAfterBreak="0">
    <w:nsid w:val="00001B69"/>
    <w:multiLevelType w:val="singleLevel"/>
    <w:tmpl w:val="56D6B450"/>
    <w:lvl w:ilvl="0">
      <w:start w:val="1"/>
      <w:numFmt w:val="bullet"/>
      <w:lvlText w:val="•"/>
      <w:lvlJc w:val="left"/>
      <w:pPr>
        <w:ind w:left="360" w:hanging="360"/>
      </w:pPr>
    </w:lvl>
  </w:abstractNum>
  <w:abstractNum w:abstractNumId="18" w15:restartNumberingAfterBreak="0">
    <w:nsid w:val="00001B6A"/>
    <w:multiLevelType w:val="singleLevel"/>
    <w:tmpl w:val="2CA4E5EE"/>
    <w:lvl w:ilvl="0">
      <w:start w:val="1"/>
      <w:numFmt w:val="decimal"/>
      <w:lvlText w:val="%1."/>
      <w:lvlJc w:val="left"/>
      <w:pPr>
        <w:ind w:left="360" w:hanging="360"/>
      </w:pPr>
    </w:lvl>
  </w:abstractNum>
  <w:abstractNum w:abstractNumId="19">
    <w:nsid w:val="00001B6B"/>
    <w:multiLevelType w:val="singleLevel"/>
    <w:lvl w:ilvl="0">
      <w:start w:val="1"/>
      <w:numFmt w:val="bullet"/>
      <w:lvlText w:val="•"/>
      <w:lvlJc w:val="left"/>
      <w:pPr>
        <w:ind w:left="360" w:hanging="360"/>
      </w:pPr>
    </w:lvl>
  </w:abstractNum>
  <w:abstractNum w:abstractNumId="20">
    <w:nsid w:val="00001B6C"/>
    <w:multiLevelType w:val="singleLevel"/>
    <w:lvl w:ilvl="0">
      <w:start w:val="1"/>
      <w:numFmt w:val="decimal"/>
      <w:lvlText w:val="%1."/>
      <w:lvlJc w:val="left"/>
      <w:pPr>
        <w:ind w:left="360" w:hanging="360"/>
      </w:pPr>
    </w:lvl>
  </w:abstractNum>
  <w:abstractNum w:abstractNumId="21">
    <w:nsid w:val="00001B6D"/>
    <w:multiLevelType w:val="singleLevel"/>
    <w:lvl w:ilvl="0">
      <w:start w:val="1"/>
      <w:numFmt w:val="decimal"/>
      <w:lvlText w:val="%1."/>
      <w:lvlJc w:val="left"/>
      <w:pPr>
        <w:ind w:left="360" w:hanging="360"/>
      </w:pPr>
    </w:lvl>
  </w:abstractNum>
  <w:abstractNum w:abstractNumId="22">
    <w:nsid w:val="00001B6E"/>
    <w:multiLevelType w:val="singleLevel"/>
    <w:lvl w:ilvl="0">
      <w:start w:val="1"/>
      <w:numFmt w:val="bullet"/>
      <w:lvlText w:val="•"/>
      <w:lvlJc w:val="left"/>
      <w:pPr>
        <w:ind w:left="360" w:hanging="360"/>
      </w:pPr>
    </w:lvl>
  </w:abstractNum>
  <w:abstractNum w:abstractNumId="23">
    <w:nsid w:val="00001B6F"/>
    <w:multiLevelType w:val="singleLevel"/>
    <w:lvl w:ilvl="0">
      <w:start w:val="1"/>
      <w:numFmt w:val="decimal"/>
      <w:lvlText w:val="%1."/>
      <w:lvlJc w:val="left"/>
      <w:pPr>
        <w:ind w:left="360" w:hanging="360"/>
      </w:pPr>
    </w:lvl>
  </w:abstractNum>
  <w:abstractNum w:abstractNumId="24">
    <w:nsid w:val="00001B70"/>
    <w:multiLevelType w:val="singleLevel"/>
    <w:lvl w:ilvl="0">
      <w:start w:val="1"/>
      <w:numFmt w:val="decimal"/>
      <w:lvlText w:val="%1."/>
      <w:lvlJc w:val="left"/>
      <w:pPr>
        <w:ind w:left="360" w:hanging="360"/>
      </w:pPr>
    </w:lvl>
  </w:abstractNum>
  <w:num w:numId="1" w16cid:durableId="1982270909">
    <w:abstractNumId w:val="8"/>
  </w:num>
  <w:num w:numId="2" w16cid:durableId="1497070308">
    <w:abstractNumId w:val="6"/>
  </w:num>
  <w:num w:numId="3" w16cid:durableId="1742823352">
    <w:abstractNumId w:val="5"/>
  </w:num>
  <w:num w:numId="4" w16cid:durableId="1566641799">
    <w:abstractNumId w:val="4"/>
  </w:num>
  <w:num w:numId="5" w16cid:durableId="2070154125">
    <w:abstractNumId w:val="7"/>
  </w:num>
  <w:num w:numId="6" w16cid:durableId="2048405785">
    <w:abstractNumId w:val="3"/>
  </w:num>
  <w:num w:numId="7" w16cid:durableId="1654067949">
    <w:abstractNumId w:val="2"/>
  </w:num>
  <w:num w:numId="8" w16cid:durableId="800418632">
    <w:abstractNumId w:val="1"/>
  </w:num>
  <w:num w:numId="9" w16cid:durableId="96338384">
    <w:abstractNumId w:val="0"/>
  </w:num>
  <w:num w:numId="10" w16cid:durableId="1478297501">
    <w:abstractNumId w:val="9"/>
    <w:lvlOverride w:ilvl="0">
      <w:startOverride w:val="1"/>
    </w:lvlOverride>
  </w:num>
  <w:num w:numId="11" w16cid:durableId="652026346">
    <w:abstractNumId w:val="10"/>
    <w:lvlOverride w:ilvl="0">
      <w:startOverride w:val="1"/>
    </w:lvlOverride>
  </w:num>
  <w:num w:numId="12" w16cid:durableId="1947040422">
    <w:abstractNumId w:val="11"/>
    <w:lvlOverride w:ilvl="0">
      <w:startOverride w:val="1"/>
    </w:lvlOverride>
  </w:num>
  <w:num w:numId="13" w16cid:durableId="1527869661">
    <w:abstractNumId w:val="12"/>
    <w:lvlOverride w:ilvl="0">
      <w:startOverride w:val="1"/>
    </w:lvlOverride>
  </w:num>
  <w:num w:numId="14" w16cid:durableId="920942314">
    <w:abstractNumId w:val="13"/>
    <w:lvlOverride w:ilvl="0">
      <w:startOverride w:val="1"/>
    </w:lvlOverride>
  </w:num>
  <w:num w:numId="15" w16cid:durableId="801121477">
    <w:abstractNumId w:val="14"/>
    <w:lvlOverride w:ilvl="0">
      <w:startOverride w:val="1"/>
    </w:lvlOverride>
  </w:num>
  <w:num w:numId="16" w16cid:durableId="796021422">
    <w:abstractNumId w:val="15"/>
    <w:lvlOverride w:ilvl="0">
      <w:startOverride w:val="1"/>
    </w:lvlOverride>
  </w:num>
  <w:num w:numId="17" w16cid:durableId="1171410400">
    <w:abstractNumId w:val="16"/>
    <w:lvlOverride w:ilvl="0">
      <w:startOverride w:val="1"/>
    </w:lvlOverride>
  </w:num>
  <w:num w:numId="18" w16cid:durableId="64228741">
    <w:abstractNumId w:val="17"/>
    <w:lvlOverride w:ilvl="0">
      <w:startOverride w:val="1"/>
    </w:lvlOverride>
  </w:num>
  <w:num w:numId="19" w16cid:durableId="511721495">
    <w:abstractNumId w:val="18"/>
    <w:lvlOverride w:ilvl="0">
      <w:startOverride w:val="1"/>
    </w:lvlOverride>
  </w:num>
  <w:num w:numId="20">
    <w:abstractNumId w:val="19"/>
    <w:lvlOverride w:ilvl="0">
      <w:startOverride w:val="1"/>
    </w:lvlOverride>
  </w:num>
  <w:num w:numId="21">
    <w:abstractNumId w:val="20"/>
    <w:lvlOverride w:ilvl="0">
      <w:startOverride w:val="1"/>
    </w:lvlOverride>
  </w:num>
  <w:num w:numId="22">
    <w:abstractNumId w:val="21"/>
    <w:lvlOverride w:ilvl="0">
      <w:startOverride w:val="1"/>
    </w:lvlOverride>
  </w:num>
  <w:num w:numId="23">
    <w:abstractNumId w:val="22"/>
    <w:lvlOverride w:ilvl="0">
      <w:startOverride w:val="1"/>
    </w:lvlOverride>
  </w:num>
  <w:num w:numId="24">
    <w:abstractNumId w:val="23"/>
    <w:lvlOverride w:ilvl="0">
      <w:startOverride w:val="1"/>
    </w:lvlOverride>
  </w:num>
  <w:num w:numId="25">
    <w:abstractNumId w:val="2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047"/>
    <w:rsid w:val="0006063C"/>
    <w:rsid w:val="0015074B"/>
    <w:rsid w:val="0029639D"/>
    <w:rsid w:val="00326F90"/>
    <w:rsid w:val="003C5374"/>
    <w:rsid w:val="004A69DE"/>
    <w:rsid w:val="00AA1D8D"/>
    <w:rsid w:val="00B47730"/>
    <w:rsid w:val="00B7378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5B8769"/>
  <w14:defaultImageDpi w14:val="300"/>
  <w15:docId w15:val="{53ACAB46-C469-4E8D-A2B2-4793F81A3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spacing w:after="120" w:line="259" w:lineRule="auto"/>
    </w:pPr>
    <w:rPr>
      <w:rFonts w:ascii="Aptos" w:hAnsi="Aptos"/>
      <w:color w:val="172B45"/>
      <w:sz w:val="21"/>
      <w:lang w:val="en-US"/>
    </w:rPr>
  </w:style>
  <w:style w:type="paragraph" w:styleId="Heading1">
    <w:name w:val="heading 1"/>
    <w:basedOn w:val="Normal"/>
    <w:next w:val="Normal"/>
    <w:link w:val="Heading1Char"/>
    <w:uiPriority w:val="9"/>
    <w:qFormat/>
    <w:rsid w:val="00FC693F"/>
    <w:pPr>
      <w:keepNext/>
      <w:keepLines/>
      <w:widowControl/>
      <w:spacing w:before="240"/>
      <w:outlineLvl w:val="0"/>
    </w:pPr>
    <w:rPr>
      <w:rFonts w:asciiTheme="majorHAnsi" w:eastAsiaTheme="majorEastAsia" w:hAnsiTheme="majorHAnsi" w:cstheme="majorBidi" w:ascii="Aptos" w:hAnsi="Aptos"/>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160" w:after="8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300" w:line="240" w:lineRule="auto"/>
      <w:contextualSpacing/>
    </w:pPr>
    <w:rPr>
      <w:rFonts w:asciiTheme="majorHAnsi" w:eastAsiaTheme="majorEastAsia" w:hAnsiTheme="majorHAnsi" w:cstheme="majorBidi" w:ascii="Aptos" w:hAnsi="Apto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80"/>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59" w:lineRule="auto"/>
      <w:contextualSpacing/>
    </w:pPr>
    <w:rPr>
      <w:rFonts w:ascii="Aptos" w:hAnsi="Aptos"/>
      <w:color w:val="172B45"/>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59" w:lineRule="auto"/>
      <w:contextualSpacing/>
    </w:pPr>
    <w:rPr>
      <w:rFonts w:ascii="Aptos" w:hAnsi="Aptos"/>
      <w:color w:val="172B45"/>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after="160" w:line="240" w:lineRule="auto"/>
    </w:pPr>
    <w:rPr>
      <w:rFonts w:ascii="Aptos" w:hAnsi="Aptos"/>
      <w:b/>
      <w:bCs/>
      <w:color w:val="172B4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0FA9A5"/>
      <w:sz w:val="17"/>
    </w:rPr>
  </w:style>
  <w:style w:type="paragraph" w:customStyle="1" w:styleId="Callout">
    <w:name w:val="Callout"/>
    <w:pPr>
      <w:ind w:left="259" w:right="144"/>
    </w:pPr>
    <w:rPr>
      <w:rFonts w:ascii="Aptos" w:hAnsi="Aptos"/>
      <w:color w:val="0A172A"/>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4"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hyperlink" Target="https://masteryquests.org/how-to/" TargetMode="External"/><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1524</Words>
  <Characters>8693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Long Run Faculty Guide</dc:title>
  <dc:subject/>
  <dc:creator>Mastery Quests</dc:creator>
  <cp:keywords/>
  <dc:description/>
  <cp:lastModifiedBy>William J. Byrd</cp:lastModifiedBy>
  <cp:revision>2</cp:revision>
  <dcterms:created xsi:type="dcterms:W3CDTF">2013-12-23T23:15:00Z</dcterms:created>
  <dcterms:modified xsi:type="dcterms:W3CDTF">2026-10-02T16:28:00Z</dcterms:modified>
  <cp:category/>
</cp:coreProperties>
</file>