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1783080" cy="789780"/>
            <wp:docPr id="1" name="Picture 1"/>
            <wp:cNvGraphicFramePr>
              <a:graphicFrameLocks noChangeAspect="1"/>
            </wp:cNvGraphicFramePr>
            <a:graphic>
              <a:graphicData uri="http://schemas.openxmlformats.org/drawingml/2006/picture">
                <pic:pic>
                  <pic:nvPicPr>
                    <pic:cNvPr id="0" name="mastery-quests-logo.png"/>
                    <pic:cNvPicPr/>
                  </pic:nvPicPr>
                  <pic:blipFill>
                    <a:blip r:embed="rId11"/>
                    <a:stretch>
                      <a:fillRect/>
                    </a:stretch>
                  </pic:blipFill>
                  <pic:spPr>
                    <a:xfrm>
                      <a:off x="0" y="0"/>
                      <a:ext cx="1783080" cy="789780"/>
                    </a:xfrm>
                    <a:prstGeom prst="rect"/>
                  </pic:spPr>
                </pic:pic>
              </a:graphicData>
            </a:graphic>
          </wp:inline>
        </w:drawing>
      </w:r>
    </w:p>
    <w:p>
      <w:pPr>
        <w:pStyle w:val="Eyebrow"/>
      </w:pPr>
      <w:r>
        <w:t>FACULTY GUIDE</w:t>
      </w:r>
    </w:p>
    <w:p>
      <w:pPr>
        <w:pStyle w:val="Title"/>
        <w:spacing w:after="80"/>
      </w:pPr>
      <w:r>
        <w:t>Faculty Game Overview Guide</w:t>
      </w:r>
    </w:p>
    <w:p>
      <w:pPr>
        <w:pStyle w:val="Subtitle"/>
        <w:spacing w:after="240"/>
      </w:pPr>
      <w:r>
        <w:t>What students experience, how the adaptive engine responds, and what faculty should know before assigning a game.</w:t>
      </w:r>
    </w:p>
    <w:tbl>
      <w:tblPr>
        <w:tblW w:type="auto" w:w="0"/>
        <w:jc w:val="center"/>
        <w:tblLayout w:type="autofit"/>
        <w:tblLook w:firstColumn="1" w:firstRow="1" w:lastColumn="0" w:lastRow="0" w:noHBand="0" w:noVBand="1" w:val="04A0"/>
      </w:tblPr>
      <w:tblGrid>
        <w:gridCol w:w="10166"/>
      </w:tblGrid>
      <w:tr>
        <w:tc>
          <w:tcPr>
            <w:tcW w:type="dxa" w:w="10166"/>
            <w:shd w:fill="EAF7F7"/>
            <w:tcBorders>
              <w:top w:val="nil"/>
              <w:left w:val="single" w:sz="20" w:color="0FA9A5"/>
              <w:bottom w:val="nil"/>
              <w:right w:val="nil"/>
            </w:tcBorders>
          </w:tcPr>
          <w:p>
            <w:pPr>
              <w:spacing w:after="0"/>
            </w:pPr>
            <w:r>
              <w:rPr>
                <w:rFonts w:ascii="Aptos" w:hAnsi="Aptos"/>
                <w:b/>
                <w:color w:val="062454"/>
                <w:sz w:val="21"/>
              </w:rPr>
              <w:t xml:space="preserve">Current architecture:  </w:t>
            </w:r>
            <w:r>
              <w:rPr>
                <w:rFonts w:ascii="Aptos" w:hAnsi="Aptos"/>
                <w:color w:val="0A172A"/>
                <w:sz w:val="21"/>
              </w:rPr>
              <w:t>Composer-generated games are browser-based, self-contained HTML activities. They use local browser storage for progress and run data and do not automatically transmit question-level gameplay records to a Mastery Quests server.</w:t>
            </w:r>
          </w:p>
        </w:tc>
      </w:tr>
    </w:tbl>
    <w:p>
      <w:pPr>
        <w:spacing w:after="0"/>
      </w:pPr>
    </w:p>
    <w:p>
      <w:pPr>
        <w:pStyle w:val="Heading1"/>
      </w:pPr>
      <w:r>
        <w:t>1. The learning model</w:t>
      </w:r>
    </w:p>
    <w:p>
      <w:r>
        <w:t>Mastery Quests combines retrieval practice, immediate feedback, adaptive question selection, staged support after errors, escalating difficulty, checkpoint encounters, and a post-run mastery report. The theme can be elaborate or minimal. The instructional engine is the part that matters.</w:t>
      </w:r>
    </w:p>
    <w:p>
      <w:pPr>
        <w:pStyle w:val="ListBullet"/>
        <w:spacing w:after="50"/>
        <w:ind w:left="360" w:hanging="173"/>
      </w:pPr>
      <w:r>
        <w:rPr>
          <w:rFonts w:ascii="Aptos" w:hAnsi="Aptos"/>
          <w:color w:val="0A172A"/>
          <w:sz w:val="21"/>
        </w:rPr>
        <w:t>Correct answers move the learner forward and contribute evidence about concepts, skills, and question forms.</w:t>
      </w:r>
    </w:p>
    <w:p>
      <w:pPr>
        <w:pStyle w:val="ListBullet"/>
        <w:spacing w:after="50"/>
        <w:ind w:left="360" w:hanging="173"/>
      </w:pPr>
      <w:r>
        <w:rPr>
          <w:rFonts w:ascii="Aptos" w:hAnsi="Aptos"/>
          <w:color w:val="0A172A"/>
          <w:sz w:val="21"/>
        </w:rPr>
        <w:t>Misses can trigger targeted repair, bridge, and retest questions when the mode and bank support them.</w:t>
      </w:r>
    </w:p>
    <w:p>
      <w:pPr>
        <w:pStyle w:val="ListBullet"/>
        <w:spacing w:after="50"/>
        <w:ind w:left="360" w:hanging="173"/>
      </w:pPr>
      <w:r>
        <w:rPr>
          <w:rFonts w:ascii="Aptos" w:hAnsi="Aptos"/>
          <w:color w:val="0A172A"/>
          <w:sz w:val="21"/>
        </w:rPr>
        <w:t>The selector limits recent repeats and uses the available metadata to keep the next item instructionally relevant.</w:t>
      </w:r>
    </w:p>
    <w:p>
      <w:pPr>
        <w:pStyle w:val="ListBullet"/>
        <w:spacing w:after="50"/>
        <w:ind w:left="360" w:hanging="173"/>
      </w:pPr>
      <w:r>
        <w:rPr>
          <w:rFonts w:ascii="Aptos" w:hAnsi="Aptos"/>
          <w:color w:val="0A172A"/>
          <w:sz w:val="21"/>
        </w:rPr>
        <w:t>Checkpoint questions test readiness at major milestones without confining ordinary concepts to a single stage.</w:t>
      </w:r>
    </w:p>
    <w:p>
      <w:pPr>
        <w:pStyle w:val="Heading1"/>
      </w:pPr>
      <w:r>
        <w:t>2. The five modes</w:t>
      </w:r>
    </w:p>
    <w:tbl>
      <w:tblPr>
        <w:tblStyle w:val="TableGrid"/>
        <w:tblW w:type="auto" w:w="0"/>
        <w:jc w:val="center"/>
        <w:tblLook w:firstColumn="1" w:firstRow="1" w:lastColumn="0" w:lastRow="0" w:noHBand="0" w:noVBand="1" w:val="04A0"/>
      </w:tblPr>
      <w:tblGrid>
        <w:gridCol w:w="3389"/>
        <w:gridCol w:w="3389"/>
        <w:gridCol w:w="3389"/>
      </w:tblGrid>
      <w:tr>
        <w:tc>
          <w:tcPr>
            <w:tcW w:type="dxa" w:w="3389"/>
            <w:shd w:fill="062454"/>
          </w:tcPr>
          <w:p>
            <w:r>
              <w:rPr>
                <w:rFonts w:ascii="Aptos" w:hAnsi="Aptos"/>
                <w:b/>
                <w:color w:val="FFFFFF"/>
                <w:sz w:val="19"/>
              </w:rPr>
              <w:t>Mode</w:t>
            </w:r>
          </w:p>
        </w:tc>
        <w:tc>
          <w:tcPr>
            <w:tcW w:type="dxa" w:w="3389"/>
            <w:shd w:fill="062454"/>
          </w:tcPr>
          <w:p>
            <w:r>
              <w:rPr>
                <w:rFonts w:ascii="Aptos" w:hAnsi="Aptos"/>
                <w:b/>
                <w:color w:val="FFFFFF"/>
                <w:sz w:val="19"/>
              </w:rPr>
              <w:t>What students experience</w:t>
            </w:r>
          </w:p>
        </w:tc>
        <w:tc>
          <w:tcPr>
            <w:tcW w:type="dxa" w:w="3389"/>
            <w:shd w:fill="062454"/>
          </w:tcPr>
          <w:p>
            <w:r>
              <w:rPr>
                <w:rFonts w:ascii="Aptos" w:hAnsi="Aptos"/>
                <w:b/>
                <w:color w:val="FFFFFF"/>
                <w:sz w:val="19"/>
              </w:rPr>
              <w:t>Best instructional use</w:t>
            </w:r>
          </w:p>
        </w:tc>
      </w:tr>
      <w:tr>
        <w:tc>
          <w:tcPr>
            <w:tcW w:type="dxa" w:w="3389"/>
          </w:tcPr>
          <w:p>
            <w:r>
              <w:rPr>
                <w:rFonts w:ascii="Aptos" w:hAnsi="Aptos"/>
                <w:b/>
                <w:color w:val="0A172A"/>
                <w:sz w:val="17"/>
              </w:rPr>
              <w:t>Standard Campaign</w:t>
            </w:r>
          </w:p>
        </w:tc>
        <w:tc>
          <w:tcPr>
            <w:tcW w:type="dxa" w:w="3389"/>
          </w:tcPr>
          <w:p>
            <w:r>
              <w:rPr>
                <w:rFonts w:ascii="Aptos" w:hAnsi="Aptos"/>
                <w:b w:val="0"/>
                <w:color w:val="0A172A"/>
                <w:sz w:val="17"/>
              </w:rPr>
              <w:t>Full 30-room campaign with checkpoints, adaptive support, setbacks, artifacts, and browser-local save/resume.</w:t>
            </w:r>
          </w:p>
        </w:tc>
        <w:tc>
          <w:tcPr>
            <w:tcW w:type="dxa" w:w="3389"/>
          </w:tcPr>
          <w:p>
            <w:r>
              <w:rPr>
                <w:rFonts w:ascii="Aptos" w:hAnsi="Aptos"/>
                <w:b w:val="0"/>
                <w:color w:val="0A172A"/>
                <w:sz w:val="17"/>
              </w:rPr>
              <w:t>Use for the complete game experience.</w:t>
            </w:r>
          </w:p>
        </w:tc>
      </w:tr>
      <w:tr>
        <w:tc>
          <w:tcPr>
            <w:tcW w:type="dxa" w:w="3389"/>
            <w:shd w:fill="F7FAFC"/>
          </w:tcPr>
          <w:p>
            <w:r>
              <w:rPr>
                <w:rFonts w:ascii="Aptos" w:hAnsi="Aptos"/>
                <w:b/>
                <w:color w:val="0A172A"/>
                <w:sz w:val="17"/>
              </w:rPr>
              <w:t>Timed Trial</w:t>
            </w:r>
          </w:p>
        </w:tc>
        <w:tc>
          <w:tcPr>
            <w:tcW w:type="dxa" w:w="3389"/>
            <w:shd w:fill="F7FAFC"/>
          </w:tcPr>
          <w:p>
            <w:r>
              <w:rPr>
                <w:rFonts w:ascii="Aptos" w:hAnsi="Aptos"/>
                <w:b w:val="0"/>
                <w:color w:val="0A172A"/>
                <w:sz w:val="17"/>
              </w:rPr>
              <w:t>A ten-minute endurance run with a visible countdown. Correct answers advance; misses can push the learner back. No checkpoint battles.</w:t>
            </w:r>
          </w:p>
        </w:tc>
        <w:tc>
          <w:tcPr>
            <w:tcW w:type="dxa" w:w="3389"/>
            <w:shd w:fill="F7FAFC"/>
          </w:tcPr>
          <w:p>
            <w:r>
              <w:rPr>
                <w:rFonts w:ascii="Aptos" w:hAnsi="Aptos"/>
                <w:b w:val="0"/>
                <w:color w:val="0A172A"/>
                <w:sz w:val="17"/>
              </w:rPr>
              <w:t>Use after students know the material and you want fluency under time.</w:t>
            </w:r>
          </w:p>
        </w:tc>
      </w:tr>
      <w:tr>
        <w:tc>
          <w:tcPr>
            <w:tcW w:type="dxa" w:w="3389"/>
          </w:tcPr>
          <w:p>
            <w:r>
              <w:rPr>
                <w:rFonts w:ascii="Aptos" w:hAnsi="Aptos"/>
                <w:b/>
                <w:color w:val="0A172A"/>
                <w:sz w:val="17"/>
              </w:rPr>
              <w:t>Exam Drill</w:t>
            </w:r>
          </w:p>
        </w:tc>
        <w:tc>
          <w:tcPr>
            <w:tcW w:type="dxa" w:w="3389"/>
          </w:tcPr>
          <w:p>
            <w:r>
              <w:rPr>
                <w:rFonts w:ascii="Aptos" w:hAnsi="Aptos"/>
                <w:b w:val="0"/>
                <w:color w:val="0A172A"/>
                <w:sz w:val="17"/>
              </w:rPr>
              <w:t>A 30-room adaptive practice path without checkpoint battles, artifacts, or campaign consequences.</w:t>
            </w:r>
          </w:p>
        </w:tc>
        <w:tc>
          <w:tcPr>
            <w:tcW w:type="dxa" w:w="3389"/>
          </w:tcPr>
          <w:p>
            <w:r>
              <w:rPr>
                <w:rFonts w:ascii="Aptos" w:hAnsi="Aptos"/>
                <w:b w:val="0"/>
                <w:color w:val="0A172A"/>
                <w:sz w:val="17"/>
              </w:rPr>
              <w:t>Use for lower-distraction review and diagnostic practice.</w:t>
            </w:r>
          </w:p>
        </w:tc>
      </w:tr>
      <w:tr>
        <w:tc>
          <w:tcPr>
            <w:tcW w:type="dxa" w:w="3389"/>
            <w:shd w:fill="F7FAFC"/>
          </w:tcPr>
          <w:p>
            <w:r>
              <w:rPr>
                <w:rFonts w:ascii="Aptos" w:hAnsi="Aptos"/>
                <w:b/>
                <w:color w:val="0A172A"/>
                <w:sz w:val="17"/>
              </w:rPr>
              <w:t>Legendary Mode</w:t>
            </w:r>
          </w:p>
        </w:tc>
        <w:tc>
          <w:tcPr>
            <w:tcW w:type="dxa" w:w="3389"/>
            <w:shd w:fill="F7FAFC"/>
          </w:tcPr>
          <w:p>
            <w:r>
              <w:rPr>
                <w:rFonts w:ascii="Aptos" w:hAnsi="Aptos"/>
                <w:b w:val="0"/>
                <w:color w:val="0A172A"/>
                <w:sz w:val="17"/>
              </w:rPr>
              <w:t>A full mastery-level run using dedicated harder questions and checkpoint encounters. Staged repair is removed.</w:t>
            </w:r>
          </w:p>
        </w:tc>
        <w:tc>
          <w:tcPr>
            <w:tcW w:type="dxa" w:w="3389"/>
            <w:shd w:fill="F7FAFC"/>
          </w:tcPr>
          <w:p>
            <w:r>
              <w:rPr>
                <w:rFonts w:ascii="Aptos" w:hAnsi="Aptos"/>
                <w:b w:val="0"/>
                <w:color w:val="0A172A"/>
                <w:sz w:val="17"/>
              </w:rPr>
              <w:t>Use after ordinary mastery is stable.</w:t>
            </w:r>
          </w:p>
        </w:tc>
      </w:tr>
      <w:tr>
        <w:tc>
          <w:tcPr>
            <w:tcW w:type="dxa" w:w="3389"/>
          </w:tcPr>
          <w:p>
            <w:r>
              <w:rPr>
                <w:rFonts w:ascii="Aptos" w:hAnsi="Aptos"/>
                <w:b/>
                <w:color w:val="0A172A"/>
                <w:sz w:val="17"/>
              </w:rPr>
              <w:t>Score Attack</w:t>
            </w:r>
          </w:p>
        </w:tc>
        <w:tc>
          <w:tcPr>
            <w:tcW w:type="dxa" w:w="3389"/>
          </w:tcPr>
          <w:p>
            <w:r>
              <w:rPr>
                <w:rFonts w:ascii="Aptos" w:hAnsi="Aptos"/>
                <w:b w:val="0"/>
                <w:color w:val="0A172A"/>
                <w:sz w:val="17"/>
              </w:rPr>
              <w:t>A full path with checkpoint encounters and arcade scoring for correct answers, speed, streaks, misses, and rapid guessing.</w:t>
            </w:r>
          </w:p>
        </w:tc>
        <w:tc>
          <w:tcPr>
            <w:tcW w:type="dxa" w:w="3389"/>
          </w:tcPr>
          <w:p>
            <w:r>
              <w:rPr>
                <w:rFonts w:ascii="Aptos" w:hAnsi="Aptos"/>
                <w:b w:val="0"/>
                <w:color w:val="0A172A"/>
                <w:sz w:val="17"/>
              </w:rPr>
              <w:t>Use for repeat practice and motivation, not first exposure.</w:t>
            </w:r>
          </w:p>
        </w:tc>
      </w:tr>
    </w:tbl>
    <w:p>
      <w:pPr>
        <w:spacing w:after="0"/>
      </w:pPr>
    </w:p>
    <w:p>
      <w:pPr>
        <w:pStyle w:val="Heading1"/>
      </w:pPr>
      <w:r>
        <w:t>3. What happens after a wrong answer</w:t>
      </w:r>
    </w:p>
    <w:p>
      <w:r>
        <w:t>In supported modes, the engine can route the learner into a short remediation sequence tied to the missed concept or skill. A correct repair can lead to a bridge or retest before ordinary progression resumes. When no appropriate repair route exists, the engine applies the normal room setback instead. Legendary Mode intentionally removes the staged repair sequence.</w:t>
      </w:r>
    </w:p>
    <w:p>
      <w:pPr>
        <w:pStyle w:val="Heading1"/>
      </w:pPr>
      <w:r>
        <w:t>4. Checkpoints and progression</w:t>
      </w:r>
    </w:p>
    <w:p>
      <w:r>
        <w:t>The visible path uses three checkpoints. The composer maps published easy checkpoint questions to Checkpoint One, medium checkpoint questions to Checkpoint Two, and hard checkpoint questions to the Final Checkpoint. Optional checkpoint focus narrows eligible concepts for a checkpoint; it does not remove those concepts from ordinary question selection.</w:t>
      </w:r>
    </w:p>
    <w:p>
      <w:r>
        <w:br w:type="page"/>
      </w:r>
    </w:p>
    <w:p>
      <w:pPr>
        <w:pStyle w:val="Heading1"/>
      </w:pPr>
      <w:r>
        <w:t>5. Mastery reporting and completion evidence</w:t>
      </w:r>
    </w:p>
    <w:p>
      <w:r>
        <w:t>Completed runs produce a student-facing result and mastery report. The report is diagnostic evidence, not a replacement for an aligned exam. It is most useful for directing follow-up practice and helping students see where their performance was strong or weak.</w:t>
      </w:r>
    </w:p>
    <w:p>
      <w:pPr>
        <w:pStyle w:val="ListBullet"/>
        <w:spacing w:after="50"/>
        <w:ind w:left="360" w:hanging="173"/>
      </w:pPr>
      <w:r>
        <w:rPr>
          <w:rFonts w:ascii="Aptos" w:hAnsi="Aptos"/>
          <w:color w:val="0A172A"/>
          <w:sz w:val="21"/>
        </w:rPr>
        <w:t>Completion screens and verification codes are lightweight course evidence, not high-stakes identity verification.</w:t>
      </w:r>
    </w:p>
    <w:p>
      <w:pPr>
        <w:pStyle w:val="ListBullet"/>
        <w:spacing w:after="50"/>
        <w:ind w:left="360" w:hanging="173"/>
      </w:pPr>
      <w:r>
        <w:rPr>
          <w:rFonts w:ascii="Aptos" w:hAnsi="Aptos"/>
          <w:color w:val="0A172A"/>
          <w:sz w:val="21"/>
        </w:rPr>
        <w:t>A mastery report can be copied, captured, or used alongside other evidence specified by the instructor.</w:t>
      </w:r>
    </w:p>
    <w:p>
      <w:pPr>
        <w:pStyle w:val="ListBullet"/>
        <w:spacing w:after="50"/>
        <w:ind w:left="360" w:hanging="173"/>
      </w:pPr>
      <w:r>
        <w:rPr>
          <w:rFonts w:ascii="Aptos" w:hAnsi="Aptos"/>
          <w:color w:val="0A172A"/>
          <w:sz w:val="21"/>
        </w:rPr>
        <w:t>A high Score Attack total or fast completion is not the same thing as broad mastery.</w:t>
      </w:r>
    </w:p>
    <w:p>
      <w:pPr>
        <w:pStyle w:val="Heading1"/>
      </w:pPr>
      <w:r>
        <w:t>6. Saving, local data, and privacy</w:t>
      </w:r>
    </w:p>
    <w:p>
      <w:pPr>
        <w:pStyle w:val="ListBullet"/>
        <w:spacing w:after="50"/>
        <w:ind w:left="360" w:hanging="173"/>
      </w:pPr>
      <w:r>
        <w:rPr>
          <w:rFonts w:ascii="Aptos" w:hAnsi="Aptos"/>
          <w:color w:val="0A172A"/>
          <w:sz w:val="21"/>
        </w:rPr>
        <w:t>The game can store the player name or initials, mode state, progress, local results, mastery evidence, and preferences in that browser.</w:t>
      </w:r>
    </w:p>
    <w:p>
      <w:pPr>
        <w:pStyle w:val="ListBullet"/>
        <w:spacing w:after="50"/>
        <w:ind w:left="360" w:hanging="173"/>
      </w:pPr>
      <w:r>
        <w:rPr>
          <w:rFonts w:ascii="Aptos" w:hAnsi="Aptos"/>
          <w:color w:val="0A172A"/>
          <w:sz w:val="21"/>
        </w:rPr>
        <w:t>Standard Campaign and Legendary Mode support browser-local save/resume. Timed Trial, Exam Drill, and Score Attack do not resume an interrupted run.</w:t>
      </w:r>
    </w:p>
    <w:p>
      <w:pPr>
        <w:pStyle w:val="ListBullet"/>
        <w:spacing w:after="50"/>
        <w:ind w:left="360" w:hanging="173"/>
      </w:pPr>
      <w:r>
        <w:rPr>
          <w:rFonts w:ascii="Aptos" w:hAnsi="Aptos"/>
          <w:color w:val="0A172A"/>
          <w:sz w:val="21"/>
        </w:rPr>
        <w:t>Composer-generated games do not request a school email and do not automatically transmit gameplay data to a Mastery Quests server.</w:t>
      </w:r>
    </w:p>
    <w:p>
      <w:pPr>
        <w:pStyle w:val="ListBullet"/>
        <w:spacing w:after="50"/>
        <w:ind w:left="360" w:hanging="173"/>
      </w:pPr>
      <w:r>
        <w:rPr>
          <w:rFonts w:ascii="Aptos" w:hAnsi="Aptos"/>
          <w:color w:val="0A172A"/>
          <w:sz w:val="21"/>
        </w:rPr>
        <w:t>If a course requires a downloaded CSV, screenshot, verification code, or mastery report, the student submits that evidence deliberately through the instructor’s chosen course workflow.</w:t>
      </w:r>
    </w:p>
    <w:p>
      <w:pPr>
        <w:pStyle w:val="ListBullet"/>
        <w:spacing w:after="50"/>
        <w:ind w:left="360" w:hanging="173"/>
      </w:pPr>
      <w:r>
        <w:rPr>
          <w:rFonts w:ascii="Aptos" w:hAnsi="Aptos"/>
          <w:color w:val="0A172A"/>
          <w:sz w:val="21"/>
        </w:rPr>
        <w:t>Clearing browser site data or switching devices can remove locally stored progress.</w:t>
      </w:r>
    </w:p>
    <w:p>
      <w:pPr>
        <w:pStyle w:val="Heading1"/>
      </w:pPr>
      <w:r>
        <w:t>7. Composer versus manual authoring</w:t>
      </w:r>
    </w:p>
    <w:tbl>
      <w:tblPr>
        <w:tblStyle w:val="TableGrid"/>
        <w:tblW w:type="auto" w:w="0"/>
        <w:jc w:val="center"/>
        <w:tblLook w:firstColumn="1" w:firstRow="1" w:lastColumn="0" w:lastRow="0" w:noHBand="0" w:noVBand="1" w:val="04A0"/>
      </w:tblPr>
      <w:tblGrid>
        <w:gridCol w:w="3389"/>
        <w:gridCol w:w="3389"/>
        <w:gridCol w:w="3389"/>
      </w:tblGrid>
      <w:tr>
        <w:tc>
          <w:tcPr>
            <w:tcW w:type="dxa" w:w="3389"/>
            <w:shd w:fill="062454"/>
          </w:tcPr>
          <w:p>
            <w:r>
              <w:rPr>
                <w:rFonts w:ascii="Aptos" w:hAnsi="Aptos"/>
                <w:b/>
                <w:color w:val="FFFFFF"/>
                <w:sz w:val="19"/>
              </w:rPr>
              <w:t>Path</w:t>
            </w:r>
          </w:p>
        </w:tc>
        <w:tc>
          <w:tcPr>
            <w:tcW w:type="dxa" w:w="3389"/>
            <w:shd w:fill="062454"/>
          </w:tcPr>
          <w:p>
            <w:r>
              <w:rPr>
                <w:rFonts w:ascii="Aptos" w:hAnsi="Aptos"/>
                <w:b/>
                <w:color w:val="FFFFFF"/>
                <w:sz w:val="19"/>
              </w:rPr>
              <w:t>Use it when</w:t>
            </w:r>
          </w:p>
        </w:tc>
        <w:tc>
          <w:tcPr>
            <w:tcW w:type="dxa" w:w="3389"/>
            <w:shd w:fill="062454"/>
          </w:tcPr>
          <w:p>
            <w:r>
              <w:rPr>
                <w:rFonts w:ascii="Aptos" w:hAnsi="Aptos"/>
                <w:b/>
                <w:color w:val="FFFFFF"/>
                <w:sz w:val="19"/>
              </w:rPr>
              <w:t>Faculty work</w:t>
            </w:r>
          </w:p>
        </w:tc>
      </w:tr>
      <w:tr>
        <w:tc>
          <w:tcPr>
            <w:tcW w:type="dxa" w:w="3389"/>
          </w:tcPr>
          <w:p>
            <w:r>
              <w:rPr>
                <w:rFonts w:ascii="Aptos" w:hAnsi="Aptos"/>
                <w:b/>
                <w:color w:val="0A172A"/>
                <w:sz w:val="18"/>
              </w:rPr>
              <w:t>Faculty Concept Composer</w:t>
            </w:r>
          </w:p>
        </w:tc>
        <w:tc>
          <w:tcPr>
            <w:tcW w:type="dxa" w:w="3389"/>
          </w:tcPr>
          <w:p>
            <w:r>
              <w:rPr>
                <w:rFonts w:ascii="Aptos" w:hAnsi="Aptos"/>
                <w:b w:val="0"/>
                <w:color w:val="0A172A"/>
                <w:sz w:val="18"/>
              </w:rPr>
              <w:t>You are building from the current economics library.</w:t>
            </w:r>
          </w:p>
        </w:tc>
        <w:tc>
          <w:tcPr>
            <w:tcW w:type="dxa" w:w="3389"/>
          </w:tcPr>
          <w:p>
            <w:r>
              <w:rPr>
                <w:rFonts w:ascii="Aptos" w:hAnsi="Aptos"/>
                <w:b w:val="0"/>
                <w:color w:val="0A172A"/>
                <w:sz w:val="18"/>
              </w:rPr>
              <w:t>Choose title, modes, course area, concepts, optional checkpoint focus, review readiness, and generate.</w:t>
            </w:r>
          </w:p>
        </w:tc>
      </w:tr>
      <w:tr>
        <w:tc>
          <w:tcPr>
            <w:tcW w:type="dxa" w:w="3389"/>
          </w:tcPr>
          <w:p>
            <w:r>
              <w:rPr>
                <w:rFonts w:ascii="Aptos" w:hAnsi="Aptos"/>
                <w:b/>
                <w:color w:val="0A172A"/>
                <w:sz w:val="18"/>
              </w:rPr>
              <w:t>Manual faculty template</w:t>
            </w:r>
          </w:p>
        </w:tc>
        <w:tc>
          <w:tcPr>
            <w:tcW w:type="dxa" w:w="3389"/>
          </w:tcPr>
          <w:p>
            <w:r>
              <w:rPr>
                <w:rFonts w:ascii="Aptos" w:hAnsi="Aptos"/>
                <w:b w:val="0"/>
                <w:color w:val="0A172A"/>
                <w:sz w:val="18"/>
              </w:rPr>
              <w:t>You are building a new subject library or intentionally changing deeper game content.</w:t>
            </w:r>
          </w:p>
        </w:tc>
        <w:tc>
          <w:tcPr>
            <w:tcW w:type="dxa" w:w="3389"/>
          </w:tcPr>
          <w:p>
            <w:r>
              <w:rPr>
                <w:rFonts w:ascii="Aptos" w:hAnsi="Aptos"/>
                <w:b w:val="0"/>
                <w:color w:val="0A172A"/>
                <w:sz w:val="18"/>
              </w:rPr>
              <w:t>Author and validate the banks, replace content and presentation safely, and run a broader technical test.</w:t>
            </w:r>
          </w:p>
        </w:tc>
      </w:tr>
    </w:tbl>
    <w:p>
      <w:pPr>
        <w:pStyle w:val="Heading1"/>
      </w:pPr>
      <w:r>
        <w:t>8. Instructional use</w:t>
      </w:r>
    </w:p>
    <w:p>
      <w:pPr>
        <w:pStyle w:val="ListBullet"/>
        <w:spacing w:after="50"/>
        <w:ind w:left="360" w:hanging="173"/>
      </w:pPr>
      <w:r>
        <w:rPr>
          <w:rFonts w:ascii="Aptos" w:hAnsi="Aptos"/>
          <w:color w:val="0A172A"/>
          <w:sz w:val="21"/>
        </w:rPr>
        <w:t>Assign a specific mode rather than telling students simply to “play the game.”</w:t>
      </w:r>
    </w:p>
    <w:p>
      <w:pPr>
        <w:pStyle w:val="ListBullet"/>
        <w:spacing w:after="50"/>
        <w:ind w:left="360" w:hanging="173"/>
      </w:pPr>
      <w:r>
        <w:rPr>
          <w:rFonts w:ascii="Aptos" w:hAnsi="Aptos"/>
          <w:color w:val="0A172A"/>
          <w:sz w:val="21"/>
        </w:rPr>
        <w:t>Use Standard Campaign when the full game layer is part of the learning experience.</w:t>
      </w:r>
    </w:p>
    <w:p>
      <w:pPr>
        <w:pStyle w:val="ListBullet"/>
        <w:spacing w:after="50"/>
        <w:ind w:left="360" w:hanging="173"/>
      </w:pPr>
      <w:r>
        <w:rPr>
          <w:rFonts w:ascii="Aptos" w:hAnsi="Aptos"/>
          <w:color w:val="0A172A"/>
          <w:sz w:val="21"/>
        </w:rPr>
        <w:t>Use Exam Drill when you want focused adaptive practice without checkpoint battles.</w:t>
      </w:r>
    </w:p>
    <w:p>
      <w:pPr>
        <w:pStyle w:val="ListBullet"/>
        <w:spacing w:after="50"/>
        <w:ind w:left="360" w:hanging="173"/>
      </w:pPr>
      <w:r>
        <w:rPr>
          <w:rFonts w:ascii="Aptos" w:hAnsi="Aptos"/>
          <w:color w:val="0A172A"/>
          <w:sz w:val="21"/>
        </w:rPr>
        <w:t>Use Timed Trial after students know the material and you want fluency under time.</w:t>
      </w:r>
    </w:p>
    <w:p>
      <w:pPr>
        <w:pStyle w:val="ListBullet"/>
        <w:spacing w:after="50"/>
        <w:ind w:left="360" w:hanging="173"/>
      </w:pPr>
      <w:r>
        <w:rPr>
          <w:rFonts w:ascii="Aptos" w:hAnsi="Aptos"/>
          <w:color w:val="0A172A"/>
          <w:sz w:val="21"/>
        </w:rPr>
        <w:t>Use Legendary Mode as a later challenge and Score Attack as repeat practice.</w:t>
      </w:r>
    </w:p>
    <w:p>
      <w:pPr>
        <w:pStyle w:val="ListBullet"/>
        <w:spacing w:after="50"/>
        <w:ind w:left="360" w:hanging="173"/>
      </w:pPr>
      <w:r>
        <w:rPr>
          <w:rFonts w:ascii="Aptos" w:hAnsi="Aptos"/>
          <w:color w:val="0A172A"/>
          <w:sz w:val="21"/>
        </w:rPr>
        <w:t>For low-stakes learning, completion or participation usually makes more sense than grading raw speed or a single weakness label.</w:t>
      </w:r>
    </w:p>
    <w:sectPr w:rsidR="00FC693F" w:rsidRPr="0006063C" w:rsidSect="00034616">
      <w:headerReference w:type="default" r:id="rId9"/>
      <w:footerReference w:type="default" r:id="rId10"/>
      <w:pgSz w:w="12240" w:h="15840"/>
      <w:pgMar w:top="893"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F6B7A"/>
        <w:sz w:val="16"/>
      </w:rPr>
      <w:t>masteryquests.org  •  Current faculty workflow</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5F6B7A"/>
        <w:sz w:val="16"/>
      </w:rPr>
      <w:t>MASTERY QUESTS  •  FACULTY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0A17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w:hAnsi="Aptos"/>
      <w:b/>
      <w:bCs/>
      <w:color w:val="062454"/>
      <w:sz w:val="3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ptos" w:hAnsi="Aptos"/>
      <w:b/>
      <w:bCs/>
      <w:color w:val="06245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b/>
      <w:color w:val="062454"/>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5F6B7A"/>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yebrow">
    <w:name w:val="Eyebrow"/>
    <w:pPr>
      <w:spacing w:after="60"/>
    </w:pPr>
    <w:rPr>
      <w:rFonts w:ascii="Aptos" w:hAnsi="Aptos"/>
      <w:b/>
      <w:color w:val="0FA9A5"/>
      <w:sz w:val="17"/>
    </w:rPr>
  </w:style>
  <w:style w:type="paragraph" w:customStyle="1" w:styleId="Callout">
    <w:name w:val="Callout"/>
    <w:pPr>
      <w:ind w:left="259" w:right="144"/>
    </w:pPr>
    <w:rPr>
      <w:rFonts w:ascii="Aptos" w:hAnsi="Aptos"/>
      <w:color w:val="0A172A"/>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