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83080" cy="789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y-quest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7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yebrow"/>
      </w:pPr>
      <w:r>
        <w:t>FACULTY GUIDE</w:t>
      </w:r>
    </w:p>
    <w:p>
      <w:pPr>
        <w:pStyle w:val="Title"/>
        <w:spacing w:after="80"/>
      </w:pPr>
      <w:r>
        <w:t>Faculty Implementation Guide</w:t>
      </w:r>
    </w:p>
    <w:p>
      <w:pPr>
        <w:pStyle w:val="Subtitle"/>
        <w:spacing w:after="240"/>
      </w:pPr>
      <w:r>
        <w:t>Plan the assignment, build or select the game, test it, deploy it, and tell students exactly what counts.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Recommended order:  </w:t>
            </w:r>
            <w:r>
              <w:rPr>
                <w:rFonts w:ascii="Aptos" w:hAnsi="Aptos"/>
                <w:color w:val="0A172A"/>
                <w:sz w:val="21"/>
              </w:rPr>
              <w:t>Instructional goal → assigned mode → build → test → host → Canvas → Student View. Do not start with visual customization and hope the assignment logic sorts itself out later.</w:t>
            </w:r>
          </w:p>
        </w:tc>
      </w:tr>
    </w:tbl>
    <w:p>
      <w:pPr>
        <w:spacing w:after="0"/>
      </w:pPr>
    </w:p>
    <w:p>
      <w:pPr>
        <w:pStyle w:val="Heading1"/>
      </w:pPr>
      <w:r>
        <w:t>1. Define the instructional job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Name the course unit or concepts the game supports.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Decide whether the activity is review, retrieval practice, a fluency check, a challenge, or a completion assignment.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Choose one primary mode for the assignment. Other modes can remain available for voluntary practice.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Decide what students must submit: nothing, a result screenshot, a mastery-report screenshot, a verification code, a CSV, or another explicit course artifact.</w:t>
      </w:r>
    </w:p>
    <w:p>
      <w:pPr>
        <w:pStyle w:val="Heading1"/>
      </w:pPr>
      <w:r>
        <w:t>2. Build the game</w:t>
      </w:r>
    </w:p>
    <w:p>
      <w:r>
        <w:t>For economics, use the Faculty Concept Composer. For another subject or a deeply customized build, use the manual template and question-authoring resources.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Game details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Name the activity and file.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Modes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Keep only the modes you intend to support.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Concepts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Choose the course area and select concepts or a starter combination.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Checkpoints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Review automatic coverage and add optional focus only when instructionally useful.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05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Readiness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Resolve blocking coverage problems.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06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Generate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Download and archive the ZIP and composition recipe.</w:t>
            </w:r>
          </w:p>
        </w:tc>
      </w:tr>
    </w:tbl>
    <w:p>
      <w:pPr>
        <w:spacing w:after="0"/>
      </w:pPr>
    </w:p>
    <w:p>
      <w:pPr>
        <w:pStyle w:val="Heading1"/>
      </w:pPr>
      <w:r>
        <w:t>3. Test before hosting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Open every enabled mode and answer enough questions to see ordinary progression.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Miss questions intentionally to confirm setbacks and repair/bridge behavior.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Timed Trial runs until the ten-minute timer expires rather than ending at the 30-room boundary.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Verify Exam Drill completes its own 30-room practice path without checkpoint battles or campaign consequences.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Test Standard Campaign and Legendary save/resume in the same browser.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Open graph questions, enlarge them, and test desktop and mobile layouts.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Complete each enabled mode and inspect the result and mastery-report flow.</w:t>
      </w:r>
    </w:p>
    <w:p>
      <w:pPr>
        <w:pStyle w:val="Heading1"/>
      </w:pPr>
      <w:r>
        <w:t>4. Host the self-contained game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Composer output:  </w:t>
            </w:r>
            <w:r>
              <w:rPr>
                <w:rFonts w:ascii="Aptos" w:hAnsi="Aptos"/>
                <w:color w:val="0A172A"/>
                <w:sz w:val="21"/>
              </w:rPr>
              <w:t>Only the generated HTML file is required to run the game. Graph images are embedded. The recipe, manifest, and README are build records, not runtime dependencies.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9000"/>
      </w:tblGrid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01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Rename the game index.html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Optional, but recommended for a clean site root URL.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02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Upload it to a static host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GitHub Pages is a straightforward option.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03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Enable HTTPS publishing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For GitHub Pages: Settings → Pages → Deploy from a branch → main → /(root).</w:t>
            </w:r>
          </w:p>
        </w:tc>
      </w:tr>
      <w:tr>
        <w:tc>
          <w:tcPr>
            <w:tcW w:type="dxa" w:w="792"/>
            <w:vAlign w:val="top"/>
            <w:shd w:fill="062454"/>
            <w:tcBorders>
              <w:bottom w:val="single" w:sz="6" w:color="DDE5EC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04</w:t>
            </w:r>
          </w:p>
        </w:tc>
        <w:tc>
          <w:tcPr>
            <w:tcW w:type="dxa" w:w="9000"/>
            <w:vAlign w:val="top"/>
            <w:shd w:fill="FFFFFF"/>
            <w:tcBorders>
              <w:bottom w:val="single" w:sz="6" w:color="DDE5EC"/>
            </w:tcBorders>
          </w:tcPr>
          <w:p>
            <w:pPr>
              <w:spacing w:after="80"/>
            </w:pPr>
            <w:r>
              <w:rPr>
                <w:rFonts w:ascii="Aptos" w:hAnsi="Aptos"/>
                <w:b/>
                <w:color w:val="062454"/>
                <w:sz w:val="22"/>
              </w:rPr>
              <w:t>Test the public URL</w:t>
            </w:r>
            <w:r>
              <w:br/>
            </w:r>
            <w:r>
              <w:rPr>
                <w:rFonts w:ascii="Aptos" w:hAnsi="Aptos"/>
                <w:color w:val="0A172A"/>
                <w:sz w:val="20"/>
              </w:rPr>
              <w:t>Use a private window so you are testing the published file, not a local cache or editor preview.</w:t>
            </w:r>
          </w:p>
        </w:tc>
      </w:tr>
    </w:tbl>
    <w:p>
      <w:pPr>
        <w:spacing w:after="0"/>
      </w:pPr>
    </w:p>
    <w:p>
      <w:pPr>
        <w:pStyle w:val="Heading1"/>
      </w:pPr>
      <w:r>
        <w:t>5. Put it in Canvas</w:t>
      </w:r>
    </w:p>
    <w:p>
      <w:r>
        <w:t>Use the public HTTPS game URL as the source for a Canvas iframe. The iframe is the wrapper; there is no second game-wrapper file required.</w:t>
      </w:r>
    </w:p>
    <w:p>
      <w:r>
        <w:rPr>
          <w:rFonts w:ascii="Consolas" w:hAnsi="Consolas"/>
          <w:color w:val="0A172A"/>
          <w:sz w:val="17"/>
        </w:rPr>
        <w:t>&lt;iframe src="https://YOURUSERNAME.github.io/YOUR-REPO/" width="100%" height="900" style="border:0;" allowfullscreen&gt;&lt;/iframe&gt;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Paste the iframe in the Canvas HTML editor.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Adjust height if your Canvas theme creates internal scrolling.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Use Student View after publishing.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If institutional settings block the iframe, use the same public URL as an external course link instead.</w:t>
      </w:r>
    </w:p>
    <w:p>
      <w:pPr>
        <w:pStyle w:val="Heading1"/>
      </w:pPr>
      <w:r>
        <w:t>6. Explain data and evidence clearly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Composer-generated games ask for a name or initials, not a school email.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Progress and run data stay in the learner’s browser and are not automatically transmitted to a Mastery Quests server.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If you require a CSV, screenshot, verification code, or mastery report, state exactly what to submit and where.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Do not promise that local progress follows the student across devices. It does not.</w:t>
      </w:r>
    </w:p>
    <w:p>
      <w:pPr>
        <w:pStyle w:val="Heading1"/>
      </w:pPr>
      <w:r>
        <w:t>7. Accessibility and course fit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Test keyboard navigation and graph enlargement.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Check mobile behavior in the same LMS context students will use.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Provide an alternative when institutional accessibility needs or device limitations make the game unsuitable for a learner.</w:t>
      </w:r>
    </w:p>
    <w:p>
      <w:pPr>
        <w:pStyle w:val="ListBullet"/>
        <w:spacing w:after="50"/>
        <w:ind w:left="360" w:hanging="173"/>
      </w:pPr>
      <w:r>
        <w:rPr>
          <w:rFonts w:ascii="Aptos" w:hAnsi="Aptos"/>
          <w:color w:val="0A172A"/>
          <w:sz w:val="21"/>
        </w:rPr>
        <w:t>Do not make speed the primary grading criterion unless speed itself is an aligned learning outcome.</w:t>
      </w:r>
    </w:p>
    <w:p>
      <w:pPr>
        <w:pStyle w:val="Heading1"/>
      </w:pPr>
      <w:r>
        <w:t>8. Final launch checklist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The game title and assigned mode match the Canvas instructions.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The public URL works in a private browser window.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Every enabled mode was tested.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Intentional misses and remediation were tested.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Graphs and mobile layout were tested.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Student View opens the embedded game correctly.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The evidence students must submit is stated clearly.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The privacy statement matches the current local-storage workflow.</w:t>
      </w:r>
    </w:p>
    <w:p>
      <w:pPr>
        <w:spacing w:after="60"/>
      </w:pPr>
      <w:r>
        <w:rPr>
          <w:rFonts w:ascii="Aptos" w:hAnsi="Aptos"/>
          <w:color w:val="0A172A"/>
          <w:sz w:val="20"/>
        </w:rPr>
        <w:t>☐  A clean copy of the ZIP and composition recipe is archived.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6B7A"/>
        <w:sz w:val="16"/>
      </w:rPr>
      <w:t>masteryquests.org  •  Current faculty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A"/>
        <w:sz w:val="16"/>
      </w:rPr>
      <w:t>MASTERY QUESTS  •  FACULTY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A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624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624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6245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F6B7A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60"/>
    </w:pPr>
    <w:rPr>
      <w:rFonts w:ascii="Aptos" w:hAnsi="Aptos"/>
      <w:b/>
      <w:color w:val="0FA9A5"/>
      <w:sz w:val="17"/>
    </w:rPr>
  </w:style>
  <w:style w:type="paragraph" w:customStyle="1" w:styleId="Callout">
    <w:name w:val="Callout"/>
    <w:pPr>
      <w:ind w:left="259" w:right="144"/>
    </w:pPr>
    <w:rPr>
      <w:rFonts w:ascii="Aptos" w:hAnsi="Aptos"/>
      <w:color w:val="0A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