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FACULTY QUICK GUIDE</w:t>
      </w:r>
    </w:p>
    <w:p>
      <w:pPr>
        <w:pStyle w:val="Title"/>
        <w:spacing w:after="80"/>
      </w:pPr>
      <w:r>
        <w:t>Composer and LMS Quick Start</w:t>
      </w:r>
    </w:p>
    <w:p>
      <w:pPr>
        <w:pStyle w:val="Subtitle"/>
        <w:spacing w:after="240"/>
      </w:pPr>
      <w:r>
        <w:t>Build an economics game, publish its package, and copy the embed for the version you want students to use.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r>
              <w:t>Fast path: Choose concepts and learning-outcome coverage, select modes and appearance, check Readiness, and download the ZIP. Upload the supplied launcher and unique game file, verify the build, then copy its Canvas embed. No JavaScript editing is required.</w:t>
            </w:r>
          </w:p>
        </w:tc>
      </w:tr>
    </w:tbl>
    <w:p>
      <w:pPr>
        <w:spacing w:after="0"/>
      </w:pPr>
    </w:p>
    <w:p>
      <w:pPr>
        <w:pStyle w:val="Heading1"/>
      </w:pPr>
      <w:r>
        <w:t>1. Build the game in the Composer</w:t>
      </w:r>
    </w:p>
    <w:tbl>
      <w:tblPr>
        <w:tblW w:type="auto" w:w="0"/>
        <w:jc w:val="center"/>
        <w:tblLayout w:type="fixed"/>
        <w:tblLook w:firstColumn="1" w:firstRow="1" w:lastColumn="0" w:lastRow="0" w:noHBand="0" w:noVBand="1" w:val="04A0"/>
      </w:tblPr>
      <w:tblGrid>
        <w:gridCol w:w="792"/>
        <w:gridCol w:w="9000"/>
      </w:tblGrid>
      <w:tr>
        <w:trPr>
          <w:cantSplit/>
        </w:trPr>
        <w:tc>
          <w:tcPr>
            <w:tcW w:type="dxa" w:w="792"/>
            <w:vAlign w:val="top"/>
            <w:shd w:fill="062454"/>
            <w:tcBorders>
              <w:bottom w:val="single" w:sz="6" w:color="DDE5EC"/>
            </w:tcBorders>
          </w:tcPr>
          <w:p>
            <w:pPr>
              <w:jc w:val="center"/>
            </w:pPr>
            <w:r>
              <w:rPr>
                <w:rFonts w:ascii="Aptos" w:hAnsi="Aptos"/>
                <w:b/>
                <w:color w:val="FFFFFF"/>
                <w:sz w:val="24"/>
              </w:rPr>
              <w:t>01</w:t>
            </w:r>
          </w:p>
        </w:tc>
        <w:tc>
          <w:tcPr>
            <w:tcW w:type="dxa" w:w="9000"/>
            <w:vAlign w:val="top"/>
            <w:shd w:fill="FFFFFF"/>
            <w:tcBorders>
              <w:bottom w:val="single" w:sz="6" w:color="DDE5EC"/>
            </w:tcBorders>
          </w:tcPr>
          <w:p>
            <w:r>
              <w:t>Concepts and scope</w:t>
              <w:br/>
              <w:t>Choose an area and concepts. Open Learning outcomes: Standard gives normal coverage, Brief essentials, and Full all outcomes. Checkboxes create Custom coverage. Single-outcome presets coincide.</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02</w:t>
            </w:r>
          </w:p>
        </w:tc>
        <w:tc>
          <w:tcPr>
            <w:tcW w:type="dxa" w:w="9000"/>
            <w:vAlign w:val="top"/>
            <w:shd w:fill="FFFFFF"/>
            <w:tcBorders>
              <w:bottom w:val="single" w:sz="6" w:color="DDE5EC"/>
            </w:tcBorders>
          </w:tcPr>
          <w:p>
            <w:pPr>
              <w:spacing w:after="80"/>
            </w:pPr>
            <w:r>
              <w:rPr>
                <w:b/>
              </w:rPr>
              <w:t>Game details</w:t>
            </w:r>
            <w:r>
              <w:br/>
              <w:t>Give the game a title and file name. To create another assignment with these settings, choose Start a different game.</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03</w:t>
            </w:r>
          </w:p>
        </w:tc>
        <w:tc>
          <w:tcPr>
            <w:tcW w:type="dxa" w:w="9000"/>
            <w:vAlign w:val="top"/>
            <w:shd w:fill="FFFFFF"/>
            <w:tcBorders>
              <w:bottom w:val="single" w:sz="6" w:color="DDE5EC"/>
            </w:tcBorders>
          </w:tcPr>
          <w:p>
            <w:r>
              <w:t>Modes</w:t>
              <w:br/>
              <w:t>Enable only the modes you plan to offer. The current set is Standard Campaign, Timed Trial, Exam Drill, Legendary Mode, Score Attack, Quiz, Unlimited Practice, Trial by Graph, Fading Fortune, and Risk &amp; Reward.</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04</w:t>
            </w:r>
          </w:p>
        </w:tc>
        <w:tc>
          <w:tcPr>
            <w:tcW w:type="dxa" w:w="9000"/>
            <w:vAlign w:val="top"/>
            <w:shd w:fill="FFFFFF"/>
            <w:tcBorders>
              <w:bottom w:val="single" w:sz="6" w:color="DDE5EC"/>
            </w:tcBorders>
          </w:tcPr>
          <w:p>
            <w:pPr>
              <w:spacing w:after="80"/>
            </w:pPr>
            <w:r>
              <w:rPr>
                <w:rFonts w:ascii="Aptos" w:hAnsi="Aptos"/>
                <w:b/>
                <w:color w:val="062454"/>
                <w:sz w:val="22"/>
              </w:rPr>
              <w:t>Checkpoints</w:t>
            </w:r>
            <w:r>
              <w:br/>
            </w:r>
            <w:r>
              <w:rPr>
                <w:rFonts w:ascii="Aptos" w:hAnsi="Aptos"/>
                <w:color w:val="0A172A"/>
                <w:sz w:val="20"/>
              </w:rPr>
              <w:t>Review automatic checkpoint coverage. Optional focus narrows which eligible concepts supply a checkpoint; it does not remove ordinary questions.</w:t>
            </w:r>
          </w:p>
        </w:tc>
      </w:tr>
      <w:tr>
        <w:trPr>
          <w:cantSplit/>
        </w:trPr>
        <w:tc>
          <w:tcPr>
            <w:tcW w:type="dxa" w:w="792"/>
            <w:vAlign w:val="top"/>
            <w:shd w:fill="062454"/>
            <w:tcBorders>
              <w:bottom w:val="single" w:sz="6" w:color="DDE5EC"/>
            </w:tcBorders>
          </w:tcPr>
          <w:p>
            <w:pPr>
              <w:jc w:val="center"/>
            </w:pPr>
            <w:r>
              <w:rPr>
                <w:b/>
                <w:color w:val="FFFFFF"/>
              </w:rPr>
              <w:t>05</w:t>
            </w:r>
            <w:r>
              <w:rPr>
                <w:color w:val="FFFFFF"/>
              </w:rPr>
              <w:br/>
            </w:r>
            <w:r>
              <w:rPr>
                <w:color w:val="FFFFFF"/>
              </w:rPr>
            </w:r>
          </w:p>
        </w:tc>
        <w:tc>
          <w:tcPr>
            <w:tcW w:type="dxa" w:w="9000"/>
            <w:vAlign w:val="top"/>
            <w:shd w:fill="FFFFFF"/>
            <w:tcBorders>
              <w:bottom w:val="single" w:sz="6" w:color="DDE5EC"/>
            </w:tcBorders>
          </w:tcPr>
          <w:p>
            <w:pPr>
              <w:spacing w:after="80"/>
            </w:pPr>
            <w:r>
              <w:rPr>
                <w:b/>
              </w:rPr>
              <w:t>Appearance</w:t>
            </w:r>
            <w:r>
              <w:br/>
            </w:r>
            <w:r>
              <w:t>Choose an official theme, keep its artwork, or replace individual slots with official or custom images.</w:t>
            </w:r>
          </w:p>
        </w:tc>
      </w:tr>
      <w:tr>
        <w:trPr>
          <w:cantSplit/>
        </w:trPr>
        <w:tc>
          <w:tcPr>
            <w:tcW w:type="dxa" w:w="792"/>
            <w:vAlign w:val="top"/>
            <w:shd w:fill="062454"/>
            <w:tcBorders>
              <w:bottom w:val="single" w:sz="6" w:color="DDE5EC"/>
            </w:tcBorders>
          </w:tcPr>
          <w:p>
            <w:pPr>
              <w:jc w:val="center"/>
            </w:pPr>
            <w:r>
              <w:rPr>
                <w:b/>
                <w:color w:val="FFFFFF"/>
              </w:rPr>
              <w:t>06</w:t>
            </w:r>
            <w:r>
              <w:rPr>
                <w:color w:val="FFFFFF"/>
              </w:rPr>
              <w:br/>
            </w:r>
            <w:r>
              <w:rPr>
                <w:color w:val="FFFFFF"/>
              </w:rPr>
            </w:r>
          </w:p>
        </w:tc>
        <w:tc>
          <w:tcPr>
            <w:tcW w:type="dxa" w:w="9000"/>
            <w:vAlign w:val="top"/>
            <w:shd w:fill="FFFFFF"/>
            <w:tcBorders>
              <w:bottom w:val="single" w:sz="6" w:color="DDE5EC"/>
            </w:tcBorders>
          </w:tcPr>
          <w:p>
            <w:pPr>
              <w:spacing w:after="80"/>
            </w:pPr>
            <w:r>
              <w:rPr>
                <w:b/>
              </w:rPr>
              <w:t>Readiness</w:t>
            </w:r>
            <w:r>
              <w:br/>
            </w:r>
            <w:r>
              <w:t>Fix blocking coverage issues. The Composer also shows the estimated package size.</w:t>
            </w:r>
          </w:p>
        </w:tc>
      </w:tr>
      <w:tr>
        <w:trPr>
          <w:cantSplit/>
        </w:trPr>
        <w:tc>
          <w:tcPr>
            <w:tcW w:type="dxa" w:w="792"/>
            <w:vAlign w:val="top"/>
            <w:shd w:fill="062454"/>
            <w:tcBorders>
              <w:bottom w:val="single" w:sz="6" w:color="DDE5EC"/>
            </w:tcBorders>
          </w:tcPr>
          <w:p>
            <w:pPr>
              <w:jc w:val="center"/>
            </w:pPr>
            <w:r>
              <w:rPr>
                <w:b/>
                <w:color w:val="FFFFFF"/>
              </w:rPr>
              <w:t>07</w:t>
            </w:r>
            <w:r>
              <w:rPr>
                <w:color w:val="FFFFFF"/>
              </w:rPr>
              <w:br/>
            </w:r>
            <w:r>
              <w:rPr>
                <w:color w:val="FFFFFF"/>
              </w:rPr>
            </w:r>
          </w:p>
        </w:tc>
        <w:tc>
          <w:tcPr>
            <w:tcW w:type="dxa" w:w="9000"/>
            <w:vAlign w:val="top"/>
            <w:shd w:fill="FFFFFF"/>
            <w:tcBorders>
              <w:bottom w:val="single" w:sz="6" w:color="DDE5EC"/>
            </w:tcBorders>
          </w:tcPr>
          <w:p>
            <w:r>
              <w:rPr>
                <w:b/>
              </w:rPr>
              <w:t>Generate</w:t>
            </w:r>
            <w:r>
              <w:br/>
              <w:t>Download the ZIP and keep its recipe. Each download creates a new Build ID and game filename.</w:t>
            </w:r>
          </w:p>
        </w:tc>
      </w:tr>
    </w:tbl>
    <w:p>
      <w:pPr>
        <w:spacing w:after="0"/>
      </w:pPr>
    </w:p>
    <w:p>
      <w:pPr>
        <w:pStyle w:val="Heading2"/>
      </w:pPr>
      <w:r>
        <w:t>What the ZIP contains</w:t>
      </w:r>
    </w:p>
    <w:p>
      <w:pPr>
        <w:pStyle w:val="ListBullet"/>
        <w:spacing w:after="50"/>
        <w:ind w:left="360" w:hanging="173"/>
      </w:pPr>
      <w:r>
        <w:t>game-mqb-….html - the uniquely named game, with its runtime, questions, graphs, and artwork embedded. Keep its filename unchanged.</w:t>
      </w:r>
    </w:p>
    <w:p>
      <w:pPr>
        <w:pStyle w:val="ListBullet"/>
        <w:spacing w:after="50"/>
        <w:ind w:left="360" w:hanging="173"/>
      </w:pPr>
      <w:r>
        <w:t>composition_recipe.json - import this to reopen the same Game ID and settings for an update.</w:t>
      </w:r>
    </w:p>
    <w:p>
      <w:pPr>
        <w:pStyle w:val="ListBullet"/>
        <w:spacing w:after="50"/>
        <w:ind w:left="360" w:hanging="173"/>
      </w:pPr>
      <w:r>
        <w:t>composition_manifest.json - the Game ID, Build ID, and contents of this download.</w:t>
      </w:r>
    </w:p>
    <w:p>
      <w:pPr>
        <w:pStyle w:val="ListBullet"/>
        <w:spacing w:after="50"/>
        <w:ind w:left="360" w:hanging="173"/>
      </w:pPr>
      <w:r>
        <w:t>index.html - the supplied launcher; upload it beside the unique game file.</w:t>
      </w:r>
    </w:p>
    <w:p>
      <w:pPr>
        <w:pStyle w:val="ListBullet"/>
      </w:pPr>
      <w:r>
        <w:t>publish.html and README.txt - an offline embed helper and publishing instructions to keep with your records.</w:t>
      </w:r>
    </w:p>
    <w:p>
      <w:pPr>
        <w:pStyle w:val="ListBullet"/>
      </w:pPr>
      <w:r>
        <w:t>Concept Review routing is embedded in the generated game. Review PDFs remain in the Mastery Quests web library and are not copied into the ZIP.</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r>
              <w:t>Upload the supplied index.html launcher and game-mqb-….html together. Keep both names. The recipe, manifest, publish.html, and README can stay with your faculty records. Concept Review PDFs remain in the Mastery Quests web library.</w:t>
            </w:r>
          </w:p>
        </w:tc>
      </w:tr>
    </w:tbl>
    <w:p>
      <w:pPr>
        <w:spacing w:after="0"/>
      </w:pPr>
    </w:p>
    <w:p>
      <w:pPr>
        <w:pStyle w:val="Heading1"/>
      </w:pPr>
      <w:r>
        <w:t>2. Publish the game with GitHub Pages</w:t>
      </w:r>
    </w:p>
    <w:tbl>
      <w:tblPr>
        <w:tblW w:type="auto" w:w="0"/>
        <w:jc w:val="center"/>
        <w:tblLayout w:type="fixed"/>
        <w:tblLook w:firstColumn="1" w:firstRow="1" w:lastColumn="0" w:lastRow="0" w:noHBand="0" w:noVBand="1" w:val="04A0"/>
      </w:tblPr>
      <w:tblGrid>
        <w:gridCol w:w="792"/>
        <w:gridCol w:w="9000"/>
      </w:tblGrid>
      <w:tr>
        <w:trPr>
          <w:cantSplit/>
        </w:trPr>
        <w:tc>
          <w:tcPr>
            <w:tcW w:type="dxa" w:w="792"/>
            <w:vAlign w:val="top"/>
            <w:shd w:fill="062454"/>
            <w:tcBorders>
              <w:bottom w:val="single" w:sz="6" w:color="DDE5EC"/>
            </w:tcBorders>
          </w:tcPr>
          <w:p>
            <w:pPr>
              <w:jc w:val="center"/>
            </w:pPr>
            <w:r>
              <w:rPr>
                <w:rFonts w:ascii="Aptos" w:hAnsi="Aptos"/>
                <w:b/>
                <w:color w:val="FFFFFF"/>
                <w:sz w:val="24"/>
              </w:rPr>
              <w:t>01</w:t>
            </w:r>
          </w:p>
        </w:tc>
        <w:tc>
          <w:tcPr>
            <w:tcW w:type="dxa" w:w="9000"/>
            <w:vAlign w:val="top"/>
            <w:shd w:fill="FFFFFF"/>
            <w:tcBorders>
              <w:bottom w:val="single" w:sz="6" w:color="DDE5EC"/>
            </w:tcBorders>
          </w:tcPr>
          <w:p>
            <w:r>
              <w:rPr>
                <w:b/>
              </w:rPr>
              <w:t>Extract the ZIP</w:t>
            </w:r>
            <w:r>
              <w:br/>
              <w:t>Locate index.html and the unique game-mqb-….html file. Keep the rest of the package for revisions and publishing help.</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02</w:t>
            </w:r>
          </w:p>
        </w:tc>
        <w:tc>
          <w:tcPr>
            <w:tcW w:type="dxa" w:w="9000"/>
            <w:vAlign w:val="top"/>
            <w:shd w:fill="FFFFFF"/>
            <w:tcBorders>
              <w:bottom w:val="single" w:sz="6" w:color="DDE5EC"/>
            </w:tcBorders>
          </w:tcPr>
          <w:p>
            <w:pPr>
              <w:spacing w:after="80"/>
            </w:pPr>
            <w:r>
              <w:rPr>
                <w:b/>
              </w:rPr>
              <w:t>Keep the generated filenames</w:t>
            </w:r>
            <w:r>
              <w:br/>
              <w:t>The launcher opens its matching game. Renaming or omitting that unique game file breaks the link.</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03</w:t>
            </w:r>
          </w:p>
        </w:tc>
        <w:tc>
          <w:tcPr>
            <w:tcW w:type="dxa" w:w="9000"/>
            <w:vAlign w:val="top"/>
            <w:shd w:fill="FFFFFF"/>
            <w:tcBorders>
              <w:bottom w:val="single" w:sz="6" w:color="DDE5EC"/>
            </w:tcBorders>
          </w:tcPr>
          <w:p>
            <w:r>
              <w:rPr>
                <w:b/>
              </w:rPr>
              <w:t>Upload both files</w:t>
            </w:r>
            <w:r>
              <w:br/>
              <w:t>Place the launcher and game in the same publishing folder. Preserve older game files still used by assignments.</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04</w:t>
            </w:r>
          </w:p>
        </w:tc>
        <w:tc>
          <w:tcPr>
            <w:tcW w:type="dxa" w:w="9000"/>
            <w:vAlign w:val="top"/>
            <w:shd w:fill="FFFFFF"/>
            <w:tcBorders>
              <w:bottom w:val="single" w:sz="6" w:color="DDE5EC"/>
            </w:tcBorders>
          </w:tcPr>
          <w:p>
            <w:pPr>
              <w:spacing w:after="80"/>
            </w:pPr>
            <w:r>
              <w:rPr>
                <w:rFonts w:ascii="Aptos" w:hAnsi="Aptos"/>
                <w:b/>
                <w:color w:val="062454"/>
                <w:sz w:val="22"/>
              </w:rPr>
              <w:t>Enable GitHub Pages</w:t>
            </w:r>
            <w:r>
              <w:br/>
            </w:r>
            <w:r>
              <w:rPr>
                <w:rFonts w:ascii="Aptos" w:hAnsi="Aptos"/>
                <w:color w:val="0A172A"/>
                <w:sz w:val="20"/>
              </w:rPr>
              <w:t>Repository Settings → Pages → Deploy from a branch → main → /(root) → Save.</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05</w:t>
            </w:r>
          </w:p>
        </w:tc>
        <w:tc>
          <w:tcPr>
            <w:tcW w:type="dxa" w:w="9000"/>
            <w:vAlign w:val="top"/>
            <w:shd w:fill="FFFFFF"/>
            <w:tcBorders>
              <w:bottom w:val="single" w:sz="6" w:color="DDE5EC"/>
            </w:tcBorders>
          </w:tcPr>
          <w:p>
            <w:pPr>
              <w:spacing w:after="80"/>
            </w:pPr>
            <w:r>
              <w:rPr>
                <w:b/>
              </w:rPr>
              <w:t>Verify the downloaded build</w:t>
            </w:r>
            <w:r>
              <w:br/>
              <w:t>Wait for deployment. Enter the public folder URL in Generate or publish.html. Open the Versioned game URL and check Game build information against the manifest.</w:t>
            </w:r>
          </w:p>
        </w:tc>
      </w:tr>
    </w:tbl>
    <w:p>
      <w:pPr>
        <w:spacing w:after="0"/>
      </w:pPr>
    </w:p>
    <w:p>
      <w:pPr>
        <w:pStyle w:val="Heading1"/>
      </w:pPr>
      <w:r>
        <w:t>3. Add the game to your LMS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r>
              <w:t>Enter your published folder URL, for example https://wjbyrd.github.io/test/, in Generate or the downloaded publish.html. The helper fills in the actual game filename and version automatically.</w:t>
            </w:r>
          </w:p>
        </w:tc>
      </w:tr>
    </w:tbl>
    <w:p>
      <w:pPr>
        <w:spacing w:after="0"/>
      </w:pPr>
    </w:p>
    <w:p>
      <w:pPr>
        <w:ind w:left="288" w:right="288"/>
      </w:pPr>
      <w:r>
        <w:t>Choose Copy Canvas embed HTML and paste the complete code into the Canvas page's HTML editor. The separate Versioned game URL is for an external course link. Use the generated fields; do not type a Build ID yourself.</w:t>
      </w:r>
    </w:p>
    <w:p>
      <w:pPr>
        <w:pStyle w:val="ListBullet"/>
        <w:spacing w:after="50"/>
        <w:ind w:left="360" w:hanging="173"/>
      </w:pPr>
      <w:r>
        <w:t>For an external link, copy the Versioned game URL into the LMS module, assignment, or resource.</w:t>
      </w:r>
    </w:p>
    <w:p>
      <w:pPr>
        <w:pStyle w:val="ListBullet"/>
        <w:spacing w:after="50"/>
        <w:ind w:left="360" w:hanging="173"/>
      </w:pPr>
      <w:r>
        <w:t>For an embed, save the generated iframe code in the LMS HTML editor. Other platforms may also support this iframe.</w:t>
      </w:r>
    </w:p>
    <w:p>
      <w:pPr>
        <w:pStyle w:val="ListBullet"/>
        <w:spacing w:after="50"/>
        <w:ind w:left="360" w:hanging="173"/>
      </w:pPr>
      <w:r>
        <w:rPr>
          <w:rFonts w:ascii="Aptos" w:hAnsi="Aptos"/>
          <w:color w:val="0A172A"/>
          <w:sz w:val="21"/>
        </w:rPr>
        <w:t>Use 900 pixels as a starting height and increase it if your LMS layout creates internal scrolling.</w:t>
      </w:r>
    </w:p>
    <w:p>
      <w:pPr>
        <w:pStyle w:val="ListBullet"/>
        <w:spacing w:after="50"/>
        <w:ind w:left="360" w:hanging="173"/>
      </w:pPr>
      <w:r>
        <w:rPr>
          <w:rFonts w:ascii="Aptos" w:hAnsi="Aptos"/>
          <w:color w:val="0A172A"/>
          <w:sz w:val="21"/>
        </w:rPr>
        <w:t>Save the LMS page and verify the activity in the learner/student view, when available, on desktop and mobile.</w:t>
      </w:r>
    </w:p>
    <w:p>
      <w:pPr>
        <w:pStyle w:val="ListBullet"/>
      </w:pPr>
      <w:r>
        <w:t>If the LMS blocks external iframes, use the same versioned HTTPS game URL as an external course link.</w:t>
      </w:r>
    </w:p>
    <w:p>
      <w:pPr>
        <w:pStyle w:val="Heading2"/>
        <w:pageBreakBefore/>
      </w:pPr>
      <w:r>
        <w:t>Update a game or publish another</w:t>
      </w:r>
    </w:p>
    <w:p>
      <w:pPr/>
      <w:r>
        <w:t>Update the same game: Import its saved composition recipe, edit, and generate a new package. The Game ID stays the same; the Build ID changes. Upload the new game file and launcher, wait for deployment, and verify the new versioned URL. Replace the Canvas iframe HTML or external course link. The Composer cannot update Canvas automatically.</w:t>
      </w:r>
    </w:p>
    <w:p>
      <w:pPr/>
      <w:r>
        <w:t>Publish a different game: Choose Start a different game in Game details. Use separate folders such as game-one/ and game-two/ to keep assignments available. Keep earlier game files while assignments still link to them; deleting a file breaks its existing link.</w:t>
      </w:r>
    </w:p>
    <w:p>
      <w:pPr/>
      <w:r>
        <w:t>Saved progress: Compatible saves can survive updates to the same game. Changed questions, graphs, or checkpoint routes use separate save slots and leave earlier saves intact. Keep the original game available for those saves. Legacy recipes receive a new Game ID, so retain the old game for its legacy progress.</w:t>
      </w:r>
    </w:p>
    <w:p>
      <w:pPr/>
      <w:r>
        <w:t>If an older game appears: Open the newest package's publish.html, enter the correct folder URL, and verify Game build information against the manifest. Replace the course link or embed. An unchanged iframe can still show an earlier build. Do not clear student browser storage to fix a publishing problem.</w:t>
      </w:r>
    </w:p>
    <w:p>
      <w:pPr>
        <w:pStyle w:val="Heading2"/>
        <w:pageBreakBefore w:val="0"/>
      </w:pPr>
      <w:r>
        <w:t>Before you assign it</w:t>
      </w:r>
    </w:p>
    <w:p>
      <w:pPr>
        <w:pStyle w:val="ListBullet"/>
        <w:spacing w:after="50"/>
        <w:ind w:left="360" w:hanging="173"/>
      </w:pPr>
      <w:r>
        <w:rPr>
          <w:rFonts w:ascii="Aptos" w:hAnsi="Aptos"/>
          <w:color w:val="0A172A"/>
          <w:sz w:val="21"/>
        </w:rPr>
        <w:t>Launch every mode you enabled.</w:t>
      </w:r>
    </w:p>
    <w:p>
      <w:pPr>
        <w:pStyle w:val="ListBullet"/>
        <w:spacing w:after="50"/>
        <w:ind w:left="360" w:hanging="173"/>
      </w:pPr>
      <w:r>
        <w:rPr>
          <w:rFonts w:ascii="Aptos" w:hAnsi="Aptos"/>
          <w:color w:val="0A172A"/>
          <w:sz w:val="21"/>
        </w:rPr>
        <w:t>Miss questions intentionally so you see setbacks and adaptive repair behavior.</w:t>
      </w:r>
    </w:p>
    <w:p>
      <w:pPr>
        <w:pStyle w:val="ListBullet"/>
        <w:spacing w:after="50"/>
        <w:ind w:left="360" w:hanging="173"/>
      </w:pPr>
      <w:r>
        <w:rPr>
          <w:rFonts w:ascii="Aptos" w:hAnsi="Aptos"/>
          <w:color w:val="0A172A"/>
          <w:sz w:val="21"/>
        </w:rPr>
        <w:t>Verify Timed Trial continues until the ten-minute clock expires.</w:t>
      </w:r>
    </w:p>
    <w:p>
      <w:pPr>
        <w:pStyle w:val="ListBullet"/>
        <w:spacing w:after="50"/>
        <w:ind w:left="360" w:hanging="173"/>
      </w:pPr>
      <w:r>
        <w:rPr>
          <w:rFonts w:ascii="Aptos" w:hAnsi="Aptos"/>
          <w:color w:val="0A172A"/>
          <w:sz w:val="21"/>
        </w:rPr>
        <w:t>Verify Exam Drill supports section navigation, revision, and checkpoint commitment with correctness hidden until commitment.</w:t>
      </w:r>
    </w:p>
    <w:p>
      <w:pPr>
        <w:pStyle w:val="ListBullet"/>
        <w:spacing w:after="50"/>
        <w:ind w:left="360" w:hanging="173"/>
      </w:pPr>
      <w:r>
        <w:t>Check graphs, mobile layout, result screens, Mastery Report, and any evidence students must submit.</w:t>
      </w:r>
    </w:p>
    <w:p>
      <w:pPr>
        <w:pStyle w:val="ListBullet"/>
        <w:spacing w:after="50"/>
        <w:ind w:left="360" w:hanging="173"/>
      </w:pPr>
      <w:r>
        <w:t>Confirm the selected artwork is recognizable, gameplay text remains readable, and Guide, hallway, Boss, Artifact, and mode images appear where configured.</w:t>
      </w:r>
    </w:p>
    <w:p>
      <w:pPr>
        <w:pStyle w:val="ListBullet"/>
      </w:pPr>
      <w:r>
        <w:t>When a meaningful weakness maps to an available review, open the recommended one-page Concept Review from the Mastery Quests web library and confirm the student can return to practice.</w:t>
      </w:r>
    </w:p>
    <w:p>
      <w:pPr>
        <w:pStyle w:val="ListBullet"/>
        <w:spacing w:after="50"/>
        <w:ind w:left="360" w:hanging="173"/>
      </w:pPr>
      <w:r>
        <w:t>Public polished games and the free manual template keep progress and activity data in the browser. Remote anonymous telemetry is OFF by default. The Composer offers an explicit optional operational telemetry build; operational telemetry is not research by default. Application telemetry does not intentionally include names, email addresses, LMS account identifiers, university identifiers or free-text responses. Learners choose whether to share local downloads through the course workflow.</w:t>
      </w:r>
    </w:p>
    <w:p>
      <w:r>
        <w:t>Current guidance: https://masteryquests.org/how-to/composer/ | Publishing and updates: https://masteryquests.org/how-to/canvas/ | Learning outcomes: https://masteryquests.org/how-to/learning-outcomes/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A"/>
        <w:sz w:val="16"/>
      </w:rPr>
      <w:t>masteryquests.org  •  Current faculty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A"/>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A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62454"/>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624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B7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2026-10-28T20:00:00Z</dcterms:modified>
  <cp:category/>
</cp:coreProperties>
</file>