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FACULTY GUIDE</w:t>
      </w:r>
    </w:p>
    <w:p>
      <w:pPr>
        <w:pStyle w:val="Title"/>
        <w:spacing w:after="80"/>
      </w:pPr>
      <w:r>
        <w:t>Student Instructions and Faculty Launch Checklist</w:t>
      </w:r>
    </w:p>
    <w:p>
      <w:pPr>
        <w:pStyle w:val="Subtitle"/>
        <w:spacing w:after="240"/>
      </w:pPr>
      <w:r>
        <w:t>A copy-ready student assignment template followed by the faculty-only checks to run before publication.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pPr>
              <w:spacing w:after="0"/>
            </w:pPr>
            <w:r>
              <w:rPr>
                <w:rFonts w:ascii="Aptos" w:hAnsi="Aptos"/>
                <w:b/>
                <w:color w:val="062454"/>
                <w:sz w:val="21"/>
              </w:rPr>
              <w:t>Use this file in two pieces:  Part I can be copied into your LMS after you replace the bracketed fields. Part II is faculty-only.</w:t>
            </w:r>
            <w:r>
              <w:rPr>
                <w:rFonts w:ascii="Aptos" w:hAnsi="Aptos"/>
                <w:color w:val="0A172A"/>
                <w:sz w:val="21"/>
              </w:rPr>
            </w:r>
          </w:p>
        </w:tc>
      </w:tr>
    </w:tbl>
    <w:p>
      <w:pPr>
        <w:spacing w:after="0"/>
      </w:pPr>
    </w:p>
    <w:p>
      <w:pPr>
        <w:pStyle w:val="Heading1"/>
      </w:pPr>
      <w:r>
        <w:t>PART I — Student Instructions</w:t>
      </w:r>
    </w:p>
    <w:p>
      <w:pPr>
        <w:pStyle w:val="Heading2"/>
      </w:pPr>
      <w:r>
        <w:t>[Game Title] — [Assigned Mode]</w:t>
      </w:r>
    </w:p>
    <w:p>
      <w:r>
        <w:t>Complete the assigned mode in [Game Title] to practice [course unit / topics]. The game uses multiple-choice practice with mode-specific selection and feedback, and Mastery Report. Correct answers move you forward; misses may create setbacks or targeted repair. When warranted, the report may recommend a one-page Concept Review before you return to practice.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7F7"/>
          </w:tcPr>
          <w:p>
            <w:r>
              <w:rPr>
                <w:rFonts w:ascii="Aptos" w:hAnsi="Aptos"/>
                <w:b/>
                <w:color w:val="062454"/>
                <w:sz w:val="18"/>
              </w:rPr>
              <w:t>Game link</w:t>
            </w:r>
          </w:p>
        </w:tc>
        <w:tc>
          <w:tcPr>
            <w:tcW w:type="dxa" w:w="5083"/>
          </w:tcPr>
          <w:p>
            <w:r>
              <w:t>[Generated Versioned game URL or LMS assignment link]</w:t>
            </w:r>
          </w:p>
        </w:tc>
      </w:tr>
      <w:tr>
        <w:trPr>
          <w:cantSplit/>
        </w:trPr>
        <w:tc>
          <w:tcPr>
            <w:tcW w:type="dxa" w:w="5083"/>
            <w:shd w:fill="EAF7F7"/>
          </w:tcPr>
          <w:p>
            <w:r>
              <w:rPr>
                <w:rFonts w:ascii="Aptos" w:hAnsi="Aptos"/>
                <w:b/>
                <w:color w:val="062454"/>
                <w:sz w:val="18"/>
              </w:rPr>
              <w:t>Assigned mode</w:t>
            </w:r>
          </w:p>
        </w:tc>
        <w:tc>
          <w:tcPr>
            <w:tcW w:type="dxa" w:w="5083"/>
          </w:tcPr>
          <w:p>
            <w:r>
              <w:t>[Standard Campaign / Timed Trial / Exam Drill / Legendary Mode / Score Attack / Quiz / Unlimited Practice / Trial by Graph / Fading Fortune / Risk &amp; Reward]</w:t>
            </w:r>
          </w:p>
        </w:tc>
      </w:tr>
      <w:tr>
        <w:trPr>
          <w:cantSplit/>
        </w:trPr>
        <w:tc>
          <w:tcPr>
            <w:tcW w:type="dxa" w:w="5083"/>
            <w:shd w:fill="EAF7F7"/>
          </w:tcPr>
          <w:p>
            <w:r>
              <w:rPr>
                <w:rFonts w:ascii="Aptos" w:hAnsi="Aptos"/>
                <w:b/>
                <w:color w:val="062454"/>
                <w:sz w:val="18"/>
              </w:rPr>
              <w:t>Due date</w:t>
            </w:r>
          </w:p>
        </w:tc>
        <w:tc>
          <w:tcPr>
            <w:tcW w:type="dxa" w:w="5083"/>
          </w:tcPr>
          <w:p>
            <w:r>
              <w:rPr>
                <w:rFonts w:ascii="Aptos" w:hAnsi="Aptos"/>
                <w:color w:val="0A172A"/>
                <w:sz w:val="18"/>
              </w:rPr>
              <w:t>[Date and time]</w:t>
            </w:r>
          </w:p>
        </w:tc>
      </w:tr>
      <w:tr>
        <w:trPr>
          <w:cantSplit/>
        </w:trPr>
        <w:tc>
          <w:tcPr>
            <w:tcW w:type="dxa" w:w="5083"/>
            <w:shd w:fill="EAF7F7"/>
          </w:tcPr>
          <w:p>
            <w:r>
              <w:rPr>
                <w:rFonts w:ascii="Aptos" w:hAnsi="Aptos"/>
                <w:b/>
                <w:color w:val="062454"/>
                <w:sz w:val="18"/>
              </w:rPr>
              <w:t>Credit</w:t>
            </w:r>
          </w:p>
        </w:tc>
        <w:tc>
          <w:tcPr>
            <w:tcW w:type="dxa" w:w="5083"/>
          </w:tcPr>
          <w:p>
            <w:r>
              <w:rPr>
                <w:rFonts w:ascii="Aptos" w:hAnsi="Aptos"/>
                <w:color w:val="0A172A"/>
                <w:sz w:val="18"/>
              </w:rPr>
              <w:t>[Points / completion / participation / extra credit]</w:t>
            </w:r>
          </w:p>
        </w:tc>
      </w:tr>
      <w:tr>
        <w:trPr>
          <w:cantSplit/>
        </w:trPr>
        <w:tc>
          <w:tcPr>
            <w:tcW w:type="dxa" w:w="5083"/>
            <w:shd w:fill="EAF7F7"/>
          </w:tcPr>
          <w:p>
            <w:r>
              <w:rPr>
                <w:rFonts w:ascii="Aptos" w:hAnsi="Aptos"/>
                <w:b/>
                <w:color w:val="062454"/>
                <w:sz w:val="18"/>
              </w:rPr>
              <w:t>Evidence to submit</w:t>
            </w:r>
          </w:p>
        </w:tc>
        <w:tc>
          <w:tcPr>
            <w:tcW w:type="dxa" w:w="5083"/>
          </w:tcPr>
          <w:p>
            <w:r>
              <w:rPr>
                <w:rFonts w:ascii="Aptos" w:hAnsi="Aptos"/>
                <w:color w:val="0A172A"/>
                <w:sz w:val="18"/>
              </w:rPr>
              <w:t>[None / result screenshot / mastery-report screenshot / verification code / CSV / other]</w:t>
            </w:r>
          </w:p>
        </w:tc>
      </w:tr>
      <w:tr>
        <w:trPr>
          <w:cantSplit/>
        </w:trPr>
        <w:tc>
          <w:tcPr>
            <w:tcW w:type="dxa" w:w="5083"/>
            <w:shd w:fill="EAF7F7"/>
          </w:tcPr>
          <w:p>
            <w:r>
              <w:rPr>
                <w:rFonts w:ascii="Aptos" w:hAnsi="Aptos"/>
                <w:b/>
                <w:color w:val="062454"/>
                <w:sz w:val="18"/>
              </w:rPr>
              <w:t>Help</w:t>
            </w:r>
          </w:p>
        </w:tc>
        <w:tc>
          <w:tcPr>
            <w:tcW w:type="dxa" w:w="5083"/>
          </w:tcPr>
          <w:p>
            <w:r>
              <w:rPr>
                <w:rFonts w:ascii="Aptos" w:hAnsi="Aptos"/>
                <w:color w:val="0A172A"/>
                <w:sz w:val="18"/>
              </w:rPr>
              <w:t>[Instructor contact or support location]</w:t>
            </w:r>
          </w:p>
        </w:tc>
      </w:tr>
    </w:tbl>
    <w:p>
      <w:pPr>
        <w:pStyle w:val="Heading2"/>
      </w:pPr>
      <w:r>
        <w:t>Use the assigned mode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0B2D5C"/>
            <w:vAlign w:val="top"/>
          </w:tcPr>
          <w:p>
            <w:r/>
            <w:r>
              <w:rPr>
                <w:b/>
                <w:color w:val="FFFFFF"/>
                <w:sz w:val="18"/>
              </w:rPr>
              <w:t>Mode</w:t>
            </w:r>
          </w:p>
        </w:tc>
        <w:tc>
          <w:tcPr>
            <w:tcW w:type="dxa" w:w="3389"/>
            <w:shd w:fill="0B2D5C"/>
            <w:vAlign w:val="top"/>
          </w:tcPr>
          <w:p>
            <w:r/>
            <w:r>
              <w:rPr>
                <w:b/>
                <w:color w:val="FFFFFF"/>
                <w:sz w:val="18"/>
              </w:rPr>
              <w:t>What changes</w:t>
            </w:r>
          </w:p>
        </w:tc>
        <w:tc>
          <w:tcPr>
            <w:tcW w:type="dxa" w:w="3389"/>
            <w:shd w:fill="0B2D5C"/>
            <w:vAlign w:val="top"/>
          </w:tcPr>
          <w:p>
            <w:r/>
            <w:r>
              <w:rPr>
                <w:b/>
                <w:color w:val="FFFFFF"/>
                <w:sz w:val="18"/>
              </w:rPr>
              <w:t>When to use it</w:t>
            </w:r>
          </w:p>
        </w:tc>
      </w:tr>
      <w:tr>
        <w:trPr>
          <w:cantSplit/>
          <w:cantSplit/>
        </w:trPr>
        <w:tc>
          <w:tcPr>
            <w:tcW w:type="dxa" w:w="1944"/>
            <w:vAlign w:val="top"/>
          </w:tcPr>
          <w:p>
            <w:r/>
            <w:r>
              <w:rPr>
                <w:b/>
                <w:color w:val="0B2D5C"/>
                <w:sz w:val="17"/>
              </w:rPr>
              <w:t>Standard Campaign</w:t>
            </w:r>
          </w:p>
        </w:tc>
        <w:tc>
          <w:tcPr>
            <w:tcW w:type="dxa" w:w="4680"/>
            <w:vAlign w:val="top"/>
          </w:tcPr>
          <w:p>
            <w:r/>
            <w:r>
              <w:rPr>
                <w:b w:val="0"/>
                <w:sz w:val="17"/>
              </w:rPr>
              <w:t>A 30-room campaign with checkpoints, milestones, setbacks, and browser-local save/resume.</w:t>
            </w:r>
          </w:p>
        </w:tc>
        <w:tc>
          <w:tcPr>
            <w:tcW w:type="dxa" w:w="3240"/>
            <w:vAlign w:val="top"/>
          </w:tcPr>
          <w:p>
            <w:r/>
            <w:r>
              <w:rPr>
                <w:b w:val="0"/>
                <w:sz w:val="17"/>
              </w:rPr>
              <w:t>Use for the complete game experience.</w:t>
            </w:r>
          </w:p>
        </w:tc>
      </w:tr>
      <w:tr>
        <w:trPr>
          <w:cantSplit/>
          <w:cantSplit/>
        </w:trPr>
        <w:tc>
          <w:tcPr>
            <w:tcW w:type="dxa" w:w="1944"/>
            <w:vAlign w:val="top"/>
          </w:tcPr>
          <w:p>
            <w:r/>
            <w:r>
              <w:rPr>
                <w:b/>
                <w:color w:val="0B2D5C"/>
                <w:sz w:val="17"/>
              </w:rPr>
              <w:t>Timed Trial</w:t>
            </w:r>
          </w:p>
        </w:tc>
        <w:tc>
          <w:tcPr>
            <w:tcW w:type="dxa" w:w="4680"/>
            <w:vAlign w:val="top"/>
          </w:tcPr>
          <w:p>
            <w:r/>
            <w:r>
              <w:rPr>
                <w:b w:val="0"/>
                <w:sz w:val="17"/>
              </w:rPr>
              <w:t>A ten-minute run with a visible countdown and no checkpoints; the timer governs completion.</w:t>
            </w:r>
          </w:p>
        </w:tc>
        <w:tc>
          <w:tcPr>
            <w:tcW w:type="dxa" w:w="3240"/>
            <w:vAlign w:val="top"/>
          </w:tcPr>
          <w:p>
            <w:r/>
            <w:r>
              <w:rPr>
                <w:b w:val="0"/>
                <w:sz w:val="17"/>
              </w:rPr>
              <w:t>Use for fluency practice after students know the material.</w:t>
            </w:r>
          </w:p>
        </w:tc>
      </w:tr>
      <w:tr>
        <w:trPr>
          <w:cantSplit/>
          <w:cantSplit/>
        </w:trPr>
        <w:tc>
          <w:tcPr>
            <w:tcW w:type="dxa" w:w="1944"/>
            <w:vAlign w:val="top"/>
          </w:tcPr>
          <w:p>
            <w:r/>
            <w:r>
              <w:rPr>
                <w:b/>
                <w:color w:val="0B2D5C"/>
                <w:sz w:val="17"/>
              </w:rPr>
              <w:t>Exam Drill</w:t>
            </w:r>
          </w:p>
        </w:tc>
        <w:tc>
          <w:tcPr>
            <w:tcW w:type="dxa" w:w="4680"/>
            <w:vAlign w:val="top"/>
          </w:tcPr>
          <w:p>
            <w:r/>
            <w:r>
              <w:rPr>
                <w:b w:val="0"/>
                <w:sz w:val="17"/>
              </w:rPr>
              <w:t>Adaptive nine-question sections with review and revision before checkpoint commitment; correctness stays hidden while a section is active.</w:t>
            </w:r>
          </w:p>
        </w:tc>
        <w:tc>
          <w:tcPr>
            <w:tcW w:type="dxa" w:w="3240"/>
            <w:vAlign w:val="top"/>
          </w:tcPr>
          <w:p>
            <w:r/>
            <w:r>
              <w:rPr>
                <w:b w:val="0"/>
                <w:sz w:val="17"/>
              </w:rPr>
              <w:t>Use for section-based review and deliberate answer commitment.</w:t>
            </w:r>
          </w:p>
        </w:tc>
      </w:tr>
      <w:tr>
        <w:trPr>
          <w:cantSplit/>
          <w:cantSplit/>
        </w:trPr>
        <w:tc>
          <w:tcPr>
            <w:tcW w:type="dxa" w:w="1944"/>
            <w:vAlign w:val="top"/>
          </w:tcPr>
          <w:p>
            <w:r/>
            <w:r>
              <w:rPr>
                <w:b/>
                <w:color w:val="0B2D5C"/>
                <w:sz w:val="17"/>
              </w:rPr>
              <w:t>Legendary Mode</w:t>
            </w:r>
          </w:p>
        </w:tc>
        <w:tc>
          <w:tcPr>
            <w:tcW w:type="dxa" w:w="4680"/>
            <w:vAlign w:val="top"/>
          </w:tcPr>
          <w:p>
            <w:r/>
            <w:r>
              <w:rPr>
                <w:b w:val="0"/>
                <w:sz w:val="17"/>
              </w:rPr>
              <w:t>A 30-room campaign using mastery-level, multi-step questions with close choices and no normal remediation sequence.</w:t>
            </w:r>
          </w:p>
        </w:tc>
        <w:tc>
          <w:tcPr>
            <w:tcW w:type="dxa" w:w="3240"/>
            <w:vAlign w:val="top"/>
          </w:tcPr>
          <w:p>
            <w:r/>
            <w:r>
              <w:rPr>
                <w:b w:val="0"/>
                <w:sz w:val="17"/>
              </w:rPr>
              <w:t>Use as a later challenge after ordinary mastery is stable.</w:t>
            </w:r>
          </w:p>
        </w:tc>
      </w:tr>
      <w:tr>
        <w:trPr>
          <w:cantSplit/>
          <w:cantSplit/>
        </w:trPr>
        <w:tc>
          <w:tcPr>
            <w:tcW w:type="dxa" w:w="1944"/>
            <w:vAlign w:val="top"/>
          </w:tcPr>
          <w:p>
            <w:r/>
            <w:r>
              <w:rPr>
                <w:b/>
                <w:color w:val="0B2D5C"/>
                <w:sz w:val="17"/>
              </w:rPr>
              <w:t>Score Attack</w:t>
            </w:r>
          </w:p>
        </w:tc>
        <w:tc>
          <w:tcPr>
            <w:tcW w:type="dxa" w:w="4680"/>
            <w:vAlign w:val="top"/>
          </w:tcPr>
          <w:p>
            <w:r/>
            <w:r>
              <w:rPr>
                <w:b w:val="0"/>
                <w:sz w:val="17"/>
              </w:rPr>
              <w:t>A scored run rewarding correct answers, speed, and streaks while penalizing misses and rapid guessing.</w:t>
            </w:r>
          </w:p>
        </w:tc>
        <w:tc>
          <w:tcPr>
            <w:tcW w:type="dxa" w:w="3240"/>
            <w:vAlign w:val="top"/>
          </w:tcPr>
          <w:p>
            <w:r/>
            <w:r>
              <w:rPr>
                <w:b w:val="0"/>
                <w:sz w:val="17"/>
              </w:rPr>
              <w:t>Use for repeat practice and motivation, not first exposure.</w:t>
            </w:r>
          </w:p>
        </w:tc>
      </w:tr>
      <w:tr>
        <w:trPr>
          <w:cantSplit/>
          <w:cantSplit/>
        </w:trPr>
        <w:tc>
          <w:tcPr>
            <w:tcW w:type="dxa" w:w="1944"/>
            <w:vAlign w:val="top"/>
          </w:tcPr>
          <w:p>
            <w:r/>
            <w:r>
              <w:rPr>
                <w:b/>
                <w:color w:val="0B2D5C"/>
                <w:sz w:val="17"/>
              </w:rPr>
              <w:t>Quiz</w:t>
            </w:r>
          </w:p>
        </w:tc>
        <w:tc>
          <w:tcPr>
            <w:tcW w:type="dxa" w:w="4680"/>
            <w:vAlign w:val="top"/>
          </w:tcPr>
          <w:p>
            <w:r/>
            <w:r>
              <w:rPr>
                <w:b w:val="0"/>
                <w:sz w:val="17"/>
              </w:rPr>
              <w:t>A fixed run of 1-15 questions chosen by the student while faculty-selected concepts remain fixed.</w:t>
            </w:r>
          </w:p>
        </w:tc>
        <w:tc>
          <w:tcPr>
            <w:tcW w:type="dxa" w:w="3240"/>
            <w:vAlign w:val="top"/>
          </w:tcPr>
          <w:p>
            <w:r/>
            <w:r>
              <w:rPr>
                <w:b w:val="0"/>
                <w:sz w:val="17"/>
              </w:rPr>
              <w:t>Use when assigning a specific-length classroom or homework run.</w:t>
            </w:r>
          </w:p>
        </w:tc>
      </w:tr>
      <w:tr>
        <w:trPr>
          <w:cantSplit/>
          <w:cantSplit/>
        </w:trPr>
        <w:tc>
          <w:tcPr>
            <w:tcW w:type="dxa" w:w="1944"/>
            <w:vAlign w:val="top"/>
          </w:tcPr>
          <w:p>
            <w:r/>
            <w:r>
              <w:rPr>
                <w:b/>
                <w:color w:val="0B2D5C"/>
                <w:sz w:val="17"/>
              </w:rPr>
              <w:t>Unlimited Practice</w:t>
            </w:r>
          </w:p>
        </w:tc>
        <w:tc>
          <w:tcPr>
            <w:tcW w:type="dxa" w:w="4680"/>
            <w:vAlign w:val="top"/>
          </w:tcPr>
          <w:p>
            <w:r/>
            <w:r>
              <w:rPr>
                <w:b w:val="0"/>
                <w:sz w:val="17"/>
              </w:rPr>
              <w:t>Adaptive practice repeats in 30-question cycles until the student ends the session and generates a report.</w:t>
            </w:r>
          </w:p>
        </w:tc>
        <w:tc>
          <w:tcPr>
            <w:tcW w:type="dxa" w:w="3240"/>
            <w:vAlign w:val="top"/>
          </w:tcPr>
          <w:p>
            <w:r/>
            <w:r>
              <w:rPr>
                <w:b w:val="0"/>
                <w:sz w:val="17"/>
              </w:rPr>
              <w:t>Use for open-ended practice where students decide when to stop.</w:t>
            </w:r>
          </w:p>
        </w:tc>
      </w:tr>
      <w:tr>
        <w:trPr>
          <w:cantSplit/>
          <w:cantSplit/>
        </w:trPr>
        <w:tc>
          <w:tcPr>
            <w:tcW w:type="dxa" w:w="1944"/>
            <w:vAlign w:val="top"/>
          </w:tcPr>
          <w:p>
            <w:r/>
            <w:r>
              <w:rPr>
                <w:b/>
                <w:color w:val="0B2D5C"/>
                <w:sz w:val="17"/>
              </w:rPr>
              <w:t>Trial by Graph</w:t>
            </w:r>
          </w:p>
        </w:tc>
        <w:tc>
          <w:tcPr>
            <w:tcW w:type="dxa" w:w="4680"/>
            <w:vAlign w:val="top"/>
          </w:tcPr>
          <w:p>
            <w:r/>
            <w:r>
              <w:rPr>
                <w:b w:val="0"/>
                <w:sz w:val="17"/>
              </w:rPr>
              <w:t>A 10-, 15-, or 20-question run using only audited items in which the graph is required; only supported lengths appear.</w:t>
            </w:r>
          </w:p>
        </w:tc>
        <w:tc>
          <w:tcPr>
            <w:tcW w:type="dxa" w:w="3240"/>
            <w:vAlign w:val="top"/>
          </w:tcPr>
          <w:p>
            <w:r/>
            <w:r>
              <w:rPr>
                <w:b w:val="0"/>
                <w:sz w:val="17"/>
              </w:rPr>
              <w:t>Use for concentrated graphical-analysis practice.</w:t>
            </w:r>
          </w:p>
        </w:tc>
      </w:tr>
      <w:tr>
        <w:trPr>
          <w:cantSplit/>
          <w:cantSplit/>
        </w:trPr>
        <w:tc>
          <w:tcPr>
            <w:tcW w:type="dxa" w:w="1944"/>
            <w:vAlign w:val="top"/>
          </w:tcPr>
          <w:p>
            <w:r/>
            <w:r>
              <w:rPr>
                <w:b/>
                <w:color w:val="0B2D5C"/>
                <w:sz w:val="17"/>
              </w:rPr>
              <w:t>Fading Fortune</w:t>
            </w:r>
          </w:p>
        </w:tc>
        <w:tc>
          <w:tcPr>
            <w:tcW w:type="dxa" w:w="4680"/>
            <w:vAlign w:val="top"/>
          </w:tcPr>
          <w:p>
            <w:r/>
            <w:r>
              <w:rPr>
                <w:b w:val="0"/>
                <w:sz w:val="17"/>
              </w:rPr>
              <w:t>A 10-, 15-, or 20-question run. Random incorrect choices fade at difficulty-based intervals and value falls 100 -&gt; 75 -&gt; 50 -&gt; 25.</w:t>
            </w:r>
          </w:p>
        </w:tc>
        <w:tc>
          <w:tcPr>
            <w:tcW w:type="dxa" w:w="3240"/>
            <w:vAlign w:val="top"/>
          </w:tcPr>
          <w:p>
            <w:r/>
            <w:r>
              <w:rPr>
                <w:b w:val="0"/>
                <w:sz w:val="17"/>
              </w:rPr>
              <w:t>Use for time pressure without a full-run clock.</w:t>
            </w:r>
          </w:p>
        </w:tc>
      </w:tr>
      <w:tr>
        <w:trPr>
          <w:cantSplit/>
          <w:cantSplit/>
        </w:trPr>
        <w:tc>
          <w:tcPr>
            <w:tcW w:type="dxa" w:w="1944"/>
            <w:vAlign w:val="top"/>
          </w:tcPr>
          <w:p>
            <w:r/>
            <w:r>
              <w:rPr>
                <w:b/>
                <w:color w:val="0B2D5C"/>
                <w:sz w:val="17"/>
              </w:rPr>
              <w:t>Risk &amp; Reward</w:t>
            </w:r>
          </w:p>
        </w:tc>
        <w:tc>
          <w:tcPr>
            <w:tcW w:type="dxa" w:w="4680"/>
            <w:vAlign w:val="top"/>
          </w:tcPr>
          <w:p>
            <w:r/>
            <w:r>
              <w:rPr>
                <w:b w:val="0"/>
                <w:sz w:val="17"/>
              </w:rPr>
              <w:t>A 10-, 15-, or 20-question run with a 1,000-point bankroll. Students risk 10%, 25%, 50%, or all in before seeing each question.</w:t>
            </w:r>
          </w:p>
        </w:tc>
        <w:tc>
          <w:tcPr>
            <w:tcW w:type="dxa" w:w="3240"/>
            <w:vAlign w:val="top"/>
          </w:tcPr>
          <w:p>
            <w:r/>
            <w:r>
              <w:rPr>
                <w:b w:val="0"/>
                <w:sz w:val="17"/>
              </w:rPr>
              <w:t>Use for strategic confidence-and-stakes decisions.</w:t>
            </w:r>
          </w:p>
        </w:tc>
      </w:tr>
    </w:tbl>
    <w:p>
      <w:pPr>
        <w:spacing w:after="0"/>
      </w:pPr>
    </w:p>
    <w:p>
      <w:pPr>
        <w:pStyle w:val="Heading2"/>
      </w:pPr>
      <w:r>
        <w:t>What the game stores</w:t>
      </w:r>
    </w:p>
    <w:p>
      <w:r>
        <w:t>Public polished games and the free manual template keep progress and activity data in the browser. Remote anonymous telemetry is OFF by default. The Composer offers an explicit optional operational telemetry build; operational telemetry is not research by default. Application telemetry does not intentionally include names, email addresses, LMS account identifiers, university identifiers or free-text responses. Learners choose whether to share local downloads through the course workflow.</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Device warning: Local progress may disappear if you clear browser site data or move to another device. Standard Campaign and Legendary Mode can resume locally; other mode attempts end when you leave the run.</w:t>
            </w:r>
          </w:p>
        </w:tc>
      </w:tr>
    </w:tbl>
    <w:p>
      <w:pPr>
        <w:spacing w:after="0"/>
      </w:pPr>
    </w:p>
    <w:p>
      <w:pPr>
        <w:pStyle w:val="Heading2"/>
      </w:pPr>
      <w:r>
        <w:t>Before you leave the assignment</w:t>
      </w:r>
    </w:p>
    <w:p>
      <w:r>
        <w:rPr>
          <w:rFonts w:ascii="Aptos" w:hAnsi="Aptos"/>
          <w:color w:val="0A172A"/>
          <w:sz w:val="20"/>
        </w:rPr>
        <w:t>☐  I used the assigned mode.</w:t>
      </w:r>
    </w:p>
    <w:p>
      <w:r>
        <w:rPr>
          <w:rFonts w:ascii="Aptos" w:hAnsi="Aptos"/>
          <w:color w:val="0A172A"/>
          <w:sz w:val="20"/>
        </w:rPr>
        <w:t>☐  I reached the required result screen or stopping point.</w:t>
      </w:r>
    </w:p>
    <w:p>
      <w:pPr/>
      <w:r>
        <w:t>☐  If my report recommended a Concept Review, I opened the web-hosted PDF and returned to the assigned practice step.</w:t>
      </w:r>
    </w:p>
    <w:p>
      <w:r>
        <w:rPr>
          <w:rFonts w:ascii="Aptos" w:hAnsi="Aptos"/>
          <w:color w:val="0A172A"/>
          <w:sz w:val="20"/>
        </w:rPr>
        <w:t>☐  I saved or captured the evidence my instructor requested.</w:t>
      </w:r>
    </w:p>
    <w:p>
      <w:r>
        <w:rPr>
          <w:rFonts w:ascii="Aptos" w:hAnsi="Aptos"/>
          <w:color w:val="0A172A"/>
          <w:sz w:val="20"/>
        </w:rPr>
        <w:t>☐  I submitted that evidence in the correct LMS or assignment location before the deadline.</w:t>
      </w:r>
    </w:p>
    <w:p>
      <w:r>
        <w:br w:type="page"/>
      </w:r>
    </w:p>
    <w:p>
      <w:pPr>
        <w:pStyle w:val="Heading1"/>
      </w:pPr>
      <w:r>
        <w:t>PART II — Faculty Launch Checklist</w:t>
      </w:r>
    </w:p>
    <w:p>
      <w:pPr>
        <w:pStyle w:val="Heading2"/>
      </w:pPr>
      <w:r>
        <w:t>Assignment decisions</w:t>
      </w:r>
    </w:p>
    <w:p>
      <w:r>
        <w:rPr>
          <w:rFonts w:ascii="Aptos" w:hAnsi="Aptos"/>
          <w:color w:val="0A172A"/>
          <w:sz w:val="20"/>
        </w:rPr>
        <w:t>☐  I named one primary mode in the student instructions.</w:t>
      </w:r>
    </w:p>
    <w:p>
      <w:r>
        <w:rPr>
          <w:rFonts w:ascii="Aptos" w:hAnsi="Aptos"/>
          <w:color w:val="0A172A"/>
          <w:sz w:val="20"/>
        </w:rPr>
        <w:t>☐  I stated the due date, credit, replay rule, and required evidence.</w:t>
      </w:r>
    </w:p>
    <w:p>
      <w:r>
        <w:rPr>
          <w:rFonts w:ascii="Aptos" w:hAnsi="Aptos"/>
          <w:color w:val="0A172A"/>
          <w:sz w:val="20"/>
        </w:rPr>
        <w:t>☐  I decided whether students need the full game experience or a lower-distraction practice mode.</w:t>
      </w:r>
    </w:p>
    <w:p>
      <w:r>
        <w:rPr>
          <w:rFonts w:ascii="Aptos" w:hAnsi="Aptos"/>
          <w:color w:val="0A172A"/>
          <w:sz w:val="20"/>
        </w:rPr>
        <w:t>☐  I did not use speed or Score Attack points as a substitute for aligned mastery evidence.</w:t>
      </w:r>
    </w:p>
    <w:p>
      <w:pPr>
        <w:pStyle w:val="Heading2"/>
      </w:pPr>
      <w:r>
        <w:t>Technical test</w:t>
      </w:r>
    </w:p>
    <w:p>
      <w:r>
        <w:t>☐  The supplied index.html launcher and unique game-mqb-….html are published together without renaming.</w:t>
      </w:r>
    </w:p>
    <w:p>
      <w:pPr/>
      <w:r>
        <w:t>☐  Deployment finished, the Versioned game URL opens, and Game build information matches the manifest.</w:t>
      </w:r>
    </w:p>
    <w:p>
      <w:r>
        <w:t>☐  The current generated Canvas embed or external link works in learner/student view.</w:t>
      </w:r>
    </w:p>
    <w:p>
      <w:pPr/>
      <w:r>
        <w:t>☐  If the LMS blocks the iframe, the generated versioned HTTPS game URL works as an external link.</w:t>
      </w:r>
    </w:p>
    <w:p>
      <w:r>
        <w:t>☐  Every enabled mode launches and completes correctly, including supported setup choices for Quiz and the 10/15/20-question modes.</w:t>
      </w:r>
    </w:p>
    <w:p>
      <w:r>
        <w:rPr>
          <w:rFonts w:ascii="Aptos" w:hAnsi="Aptos"/>
          <w:color w:val="0A172A"/>
          <w:sz w:val="20"/>
        </w:rPr>
        <w:t>☐  Timed Trial runs for the full ten-minute clock.</w:t>
      </w:r>
    </w:p>
    <w:p>
      <w:r>
        <w:rPr>
          <w:rFonts w:ascii="Aptos" w:hAnsi="Aptos"/>
          <w:color w:val="0A172A"/>
          <w:sz w:val="20"/>
        </w:rPr>
        <w:t>☐  Exam Drill supports section review, revision, and checkpoint commitment.</w:t>
      </w:r>
    </w:p>
    <w:p>
      <w:r>
        <w:rPr>
          <w:rFonts w:ascii="Aptos" w:hAnsi="Aptos"/>
          <w:color w:val="0A172A"/>
          <w:sz w:val="20"/>
        </w:rPr>
        <w:t>☐  Intentional misses trigger the expected setback or repair behavior.</w:t>
      </w:r>
    </w:p>
    <w:p>
      <w:r>
        <w:rPr>
          <w:rFonts w:ascii="Aptos" w:hAnsi="Aptos"/>
          <w:color w:val="0A172A"/>
          <w:sz w:val="20"/>
        </w:rPr>
        <w:t>☐  Standard Campaign and Legendary local save/resume work when enabled.</w:t>
      </w:r>
    </w:p>
    <w:p>
      <w:r>
        <w:rPr>
          <w:rFonts w:ascii="Aptos" w:hAnsi="Aptos"/>
          <w:color w:val="0A172A"/>
          <w:sz w:val="20"/>
        </w:rPr>
        <w:t>☐  Graphs enlarge and remain readable on desktop and mobile.</w:t>
      </w:r>
    </w:p>
    <w:p>
      <w:r>
        <w:t>☐  Appearance is correct; official or custom artwork displays as intended and gameplay text remains readable.</w:t>
      </w:r>
    </w:p>
    <w:p>
      <w:r>
        <w:t>☐  Configured hallways and Guide, Boss, Artifact, and mode images render where expected.</w:t>
      </w:r>
    </w:p>
    <w:p>
      <w:r>
        <w:t>☐  The estimated package size was reviewed, and the generated game HTML was opened and tested.</w:t>
      </w:r>
    </w:p>
    <w:p>
      <w:r>
        <w:t>☐  Result screens, Mastery Report, Concept Review recommendations, copy/download controls, and return-to-practice behavior were checked.</w:t>
      </w:r>
    </w:p>
    <w:p>
      <w:pPr>
        <w:pStyle w:val="Heading2"/>
        <w:pageBreakBefore/>
      </w:pPr>
      <w:r>
        <w:t>Updates and saved progress</w:t>
      </w:r>
    </w:p>
    <w:p>
      <w:pPr/>
      <w:r>
        <w:t>☐  For the same game, I imported its saved recipe. For another assignment, I chose Start a different game.</w:t>
      </w:r>
    </w:p>
    <w:p>
      <w:pPr/>
      <w:r>
        <w:t>☐  After a new download, I uploaded the new game file and launcher, verified the Build ID, and replaced the course link or Canvas embed.</w:t>
      </w:r>
    </w:p>
    <w:p>
      <w:pPr/>
      <w:r>
        <w:t>☐  Separate assignments use separate folders, and earlier game files remain available while still needed.</w:t>
      </w:r>
    </w:p>
    <w:p>
      <w:pPr/>
      <w:r>
        <w:t>☐  I tested compatible saves in the same browser. Changed content can use separate saves; legacy recipes receive a new Game ID. I kept the original game for older progress.</w:t>
      </w:r>
    </w:p>
    <w:p>
      <w:pPr/>
      <w:r>
        <w:t>☐  I kept the ZIP, recipe, manifest, publish.html, and README. I will check the build and link before considering any browser-storage troubleshooting.</w:t>
      </w:r>
    </w:p>
    <w:p>
      <w:pPr>
        <w:pStyle w:val="Heading2"/>
      </w:pPr>
      <w:r>
        <w:t>Privacy and evidence</w:t>
      </w:r>
    </w:p>
    <w:p>
      <w:r>
        <w:rPr>
          <w:rFonts w:ascii="Aptos" w:hAnsi="Aptos"/>
          <w:color w:val="0A172A"/>
          <w:sz w:val="20"/>
        </w:rPr>
        <w:t>☐  The student instructions say that progress and run data are stored locally in the browser.</w:t>
      </w:r>
    </w:p>
    <w:p>
      <w:r>
        <w:rPr>
          <w:rFonts w:ascii="Aptos" w:hAnsi="Aptos"/>
          <w:color w:val="0A172A"/>
          <w:sz w:val="20"/>
        </w:rPr>
        <w:t>☐  The instructions do not claim that gameplay is automatically reported to the instructor.</w:t>
      </w:r>
    </w:p>
    <w:p>
      <w:r>
        <w:rPr>
          <w:rFonts w:ascii="Aptos" w:hAnsi="Aptos"/>
          <w:color w:val="0A172A"/>
          <w:sz w:val="20"/>
        </w:rPr>
        <w:t>☐  If I require a CSV, screenshot, code, or mastery report, I state exactly what students must submit and where.</w:t>
      </w:r>
    </w:p>
    <w:p>
      <w:pPr/>
      <w:r>
        <w:t>☐  I explain that a Concept Review appears only when meaningful weakness evidence maps to a review available through the Mastery Quests web library.</w:t>
      </w:r>
    </w:p>
    <w:p>
      <w:r>
        <w:rPr>
          <w:rFonts w:ascii="Aptos" w:hAnsi="Aptos"/>
          <w:color w:val="0A172A"/>
          <w:sz w:val="20"/>
        </w:rPr>
        <w:t>☐  I understand that clearing site data or switching devices can remove local progress.</w:t>
      </w:r>
    </w:p>
    <w:p>
      <w:pPr>
        <w:pStyle w:val="Heading2"/>
      </w:pPr>
      <w:r>
        <w:t>Copy-ready results follow-up</w:t>
      </w:r>
    </w:p>
    <w:p>
      <w:r>
        <w:t>After the run, read Mastery Report. If it recommends a Concept Review, open the one-page PDF, complete its check-yourself step, and return to the practice your instructor assigned. Concept Reviews open from the Mastery Quests web library and require internet access. If the game or review does not load or is not accessible on your device, contact [help information].</w:t>
      </w:r>
    </w:p>
    <w:p>
      <w:r>
        <w:t>Current guidance: https://masteryquests.org/how-to/composer/ | Publishing and updates: https://masteryquests.org/how-to/canvas/ | Learning outcomes: https://masteryquests.org/how-to/learning-outcomes/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masteryquests.org  •  Current faculty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A"/>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6245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62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2026-10-28T20:00:00Z</dcterms:modified>
  <cp:category/>
</cp:coreProperties>
</file>