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83080" cy="789780"/>
            <wp:docPr id="1" name="Picture 1" descr="Mastery Quest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y-quests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789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yebrow"/>
      </w:pPr>
      <w:r>
        <w:t>FACULTY GUIDE</w:t>
      </w:r>
    </w:p>
    <w:p>
      <w:pPr>
        <w:pStyle w:val="Title"/>
        <w:spacing w:after="80"/>
      </w:pPr>
      <w:r>
        <w:t>Faculty Implementation Guide</w:t>
      </w:r>
    </w:p>
    <w:p>
      <w:pPr>
        <w:pStyle w:val="Subtitle"/>
        <w:spacing w:after="240"/>
      </w:pPr>
      <w:r>
        <w:t>Plan the assignment, build or select the game, test it, deploy it, and tell students exactly what counts.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r>
              <w:t>Recommended order: Instructional goal -&gt; assigned mode -&gt; build -&gt; test -&gt; host game HTML -&gt; Canvas -&gt; Student View -&gt; Mastery Report 2.0 -&gt; review when warranted -&gt; return to practice.</w:t>
            </w:r>
          </w:p>
        </w:tc>
      </w:tr>
    </w:tbl>
    <w:p>
      <w:pPr>
        <w:spacing w:after="0"/>
      </w:pPr>
    </w:p>
    <w:p>
      <w:pPr>
        <w:pStyle w:val="Heading1"/>
      </w:pPr>
      <w:r>
        <w:t>1. Define the instructional job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Name the course unit or concepts the game supports.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Decide whether the activity is review, retrieval practice, a fluency check, a challenge, or a completion assignment.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Choose one primary mode for the assignment. Other modes can remain available for voluntary practice.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Decide what students must submit: nothing, a result screenshot, a mastery-report screenshot, a verification code, a CSV, or another explicit course artifact.</w:t>
      </w:r>
    </w:p>
    <w:p>
      <w:pPr>
        <w:pStyle w:val="Heading1"/>
      </w:pPr>
      <w:r>
        <w:t>2. Build the game with the current Composer</w:t>
      </w:r>
    </w:p>
    <w:p>
      <w:r>
        <w:t>Use the Faculty Build Composer for the current economics library. Select General Economics, Microeconomics, or Macroeconomics; All, Ready, Supporting, search, starter combinations, and concept cards remain scoped to that area. Micro includes granular parent/child families, and each area retains its discipline accent.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9000"/>
      </w:tblGrid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01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Game details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Name the activity and file.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02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r>
              <w:t>Modes</w:t>
              <w:br/>
              <w:t>Enable only the modes that fit the assignment. Availability checks reflect the selected content and required inventory.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03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r>
              <w:t>Concepts</w:t>
              <w:br/>
              <w:t>Choose a course area, then All within that area, a starter combination, or individual concepts and Micro family children.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04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Checkpoints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Review automatic coverage and add optional focus only when instructionally useful.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05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Readiness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Resolve blocking coverage problems.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06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Generate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Download and archive the ZIP and composition recipe.</w:t>
            </w:r>
          </w:p>
        </w:tc>
      </w:tr>
    </w:tbl>
    <w:p>
      <w:pPr>
        <w:spacing w:after="0"/>
      </w:pPr>
    </w:p>
    <w:p>
      <w:pPr>
        <w:pStyle w:val="Heading2"/>
      </w:pPr>
      <w:r>
        <w:t>Mode choice at a glance</w:t>
      </w:r>
    </w:p>
    <w:p>
      <w:r>
        <w:t>Faculty enable the modes that fit the assignment; students see only those enabled in the generated build.</w:t>
      </w:r>
    </w:p>
    <w:p>
      <w:pPr>
        <w:pStyle w:val="ListBullet"/>
      </w:pPr>
      <w:r>
        <w:rPr>
          <w:b/>
        </w:rPr>
        <w:t xml:space="preserve">Standard Campaign: </w:t>
      </w:r>
      <w:r>
        <w:t>A 30-room campaign with checkpoints, milestones, setbacks, and browser-local save/resume. Use for the complete game experience.</w:t>
      </w:r>
    </w:p>
    <w:p>
      <w:pPr>
        <w:pStyle w:val="ListBullet"/>
      </w:pPr>
      <w:r>
        <w:rPr>
          <w:b/>
        </w:rPr>
        <w:t xml:space="preserve">Timed Trial: </w:t>
      </w:r>
      <w:r>
        <w:t>A ten-minute run with a visible countdown and no checkpoints; the timer governs completion. Use for fluency practice after students know the material.</w:t>
      </w:r>
    </w:p>
    <w:p>
      <w:pPr>
        <w:pStyle w:val="ListBullet"/>
      </w:pPr>
      <w:r>
        <w:rPr>
          <w:b/>
        </w:rPr>
        <w:t xml:space="preserve">Exam Drill: </w:t>
      </w:r>
      <w:r>
        <w:t>A 30-room adaptive practice path without checkpoints, milestones, or campaign progress. Use for lower-distraction review and diagnostic practice.</w:t>
      </w:r>
    </w:p>
    <w:p>
      <w:pPr>
        <w:pStyle w:val="ListBullet"/>
      </w:pPr>
      <w:r>
        <w:rPr>
          <w:b/>
        </w:rPr>
        <w:t xml:space="preserve">Legendary Mode: </w:t>
      </w:r>
      <w:r>
        <w:t>A 30-room campaign using mastery-level, multi-step questions with close choices and no normal remediation sequence. Use as a later challenge after ordinary mastery is stable.</w:t>
      </w:r>
    </w:p>
    <w:p>
      <w:pPr>
        <w:pStyle w:val="ListBullet"/>
      </w:pPr>
      <w:r>
        <w:rPr>
          <w:b/>
        </w:rPr>
        <w:t xml:space="preserve">Score Attack: </w:t>
      </w:r>
      <w:r>
        <w:t>A scored run rewarding correct answers, speed, and streaks while penalizing misses and rapid guessing. Use for repeat practice and motivation, not first exposure.</w:t>
      </w:r>
    </w:p>
    <w:p>
      <w:pPr>
        <w:pStyle w:val="ListBullet"/>
      </w:pPr>
      <w:r>
        <w:rPr>
          <w:b/>
        </w:rPr>
        <w:t xml:space="preserve">Quiz: </w:t>
      </w:r>
      <w:r>
        <w:t>A fixed run of 1-15 questions chosen by the student while faculty-selected concepts remain fixed. Use when assigning a specific-length classroom or homework run.</w:t>
      </w:r>
    </w:p>
    <w:p>
      <w:pPr>
        <w:pStyle w:val="ListBullet"/>
      </w:pPr>
      <w:r>
        <w:rPr>
          <w:b/>
        </w:rPr>
        <w:t xml:space="preserve">Unlimited Practice: </w:t>
      </w:r>
      <w:r>
        <w:t>Adaptive practice repeats in 30-question cycles until the student ends the session and generates a report. Use for open-ended practice where students decide when to stop.</w:t>
      </w:r>
    </w:p>
    <w:p>
      <w:pPr>
        <w:pStyle w:val="ListBullet"/>
      </w:pPr>
      <w:r>
        <w:rPr>
          <w:b/>
        </w:rPr>
        <w:t xml:space="preserve">Trial by Graph: </w:t>
      </w:r>
      <w:r>
        <w:t>A 10-, 15-, or 20-question run using only audited items in which the graph is required; only supported lengths appear. Use for concentrated graphical-analysis practice.</w:t>
      </w:r>
    </w:p>
    <w:p>
      <w:pPr>
        <w:pStyle w:val="ListBullet"/>
      </w:pPr>
      <w:r>
        <w:rPr>
          <w:b/>
        </w:rPr>
        <w:t xml:space="preserve">Fading Fortune: </w:t>
      </w:r>
      <w:r>
        <w:t>A 10-, 15-, or 20-question run. Random incorrect choices fade at difficulty-based intervals and value falls 100 -&gt; 75 -&gt; 50 -&gt; 25. Use for time pressure without a full-run clock.</w:t>
      </w:r>
    </w:p>
    <w:p>
      <w:pPr>
        <w:pStyle w:val="ListBullet"/>
      </w:pPr>
      <w:r>
        <w:rPr>
          <w:b/>
        </w:rPr>
        <w:t xml:space="preserve">Risk &amp; Reward: </w:t>
      </w:r>
      <w:r>
        <w:t>A 10-, 15-, or 20-question run with a 1,000-point bankroll. Students risk 10%, 25%, 50%, or all in before seeing each question. Use for strategic confidence-and-stakes decisions.</w:t>
      </w:r>
    </w:p>
    <w:p/>
    <w:p>
      <w:pPr>
        <w:pStyle w:val="Heading1"/>
      </w:pPr>
      <w:r>
        <w:t>3. Test before hosting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Open every enabled mode and answer enough questions to see ordinary progression.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Miss questions intentionally to confirm setbacks and repair/bridge behavior.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Verify Timed Trial runs until the ten-minute timer expires rather than ending at the 30-room boundary.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Verify Exam Drill completes its own 30-room practice path without checkpoint battles or campaign consequences.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Test Standard Campaign and Legendary save/resume in the same browser.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Open graph questions, enlarge them, and test desktop and mobile layouts.</w:t>
      </w:r>
    </w:p>
    <w:p>
      <w:pPr>
        <w:pStyle w:val="ListBullet"/>
        <w:spacing w:after="50"/>
        <w:ind w:left="360" w:hanging="173"/>
      </w:pPr>
      <w:r>
        <w:t>Complete each enabled mode and inspect Mastery Report 2.0. Confirm that clean runs can omit a review and that meaningful mapped weaknesses can open a web-hosted Concept Review and return to practice.</w:t>
      </w:r>
    </w:p>
    <w:p>
      <w:pPr>
        <w:pStyle w:val="Heading1"/>
      </w:pPr>
      <w:r>
        <w:t>4. Host the generated game HTML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r>
              <w:t>Composer output: The generated HTML embeds runtime logic, graph images, and build-specific Concept Review routing. Publish the game HTML by itself. Review PDFs remain in the Mastery Quests web library; keep the recipe, composition manifest, and README as faculty build records.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9000"/>
      </w:tblGrid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01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Rename the game index.html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Optional, but recommended for a clean site root URL.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02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r>
              <w:t>Upload the game HTML</w:t>
              <w:br/>
              <w:t>Publish index.html at the site root or chosen game path. No sibling Concept Review folder is required.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03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Enable HTTPS publishing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For GitHub Pages: Settings → Pages → Deploy from a branch → main → /(root).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04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Test the public URL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Use a private window so you are testing the published file, not a local cache or editor preview.</w:t>
            </w:r>
          </w:p>
        </w:tc>
      </w:tr>
    </w:tbl>
    <w:p>
      <w:pPr>
        <w:spacing w:after="0"/>
      </w:pPr>
    </w:p>
    <w:p>
      <w:pPr>
        <w:pStyle w:val="Heading1"/>
        <w:spacing w:before="120" w:after="60"/>
      </w:pPr>
      <w:r>
        <w:t>5. Put it in Canvas</w:t>
      </w:r>
    </w:p>
    <w:p>
      <w:r>
        <w:t>Use the public HTTPS game URL as the source for a Canvas iframe. The iframe is the wrapper; there is no second game-wrapper file required.</w:t>
      </w:r>
    </w:p>
    <w:p>
      <w:r>
        <w:rPr>
          <w:rFonts w:ascii="Consolas" w:hAnsi="Consolas"/>
          <w:color w:val="0A172A"/>
          <w:sz w:val="17"/>
        </w:rPr>
        <w:t>&lt;iframe src="https://YOURUSERNAME.github.io/YOUR-REPO/" width="100%" height="900" style="border:0;" allowfullscreen&gt;&lt;/iframe&gt;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Paste the iframe in the Canvas HTML editor.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Adjust height if your Canvas theme creates internal scrolling.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Use Student View after publishing.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If institutional settings block the iframe, use the same public URL as an external course link instead.</w:t>
      </w:r>
    </w:p>
    <w:p>
      <w:pPr>
        <w:pStyle w:val="Heading1"/>
        <w:spacing w:before="120" w:after="60"/>
      </w:pPr>
      <w:r>
        <w:t>6. Explain data, evidence, and follow-up clearly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Composer-generated games ask for a name or initials, not a school email.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Progress and run data stay in the learner’s browser and are not automatically transmitted to a Mastery Quests server.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If you require a CSV, screenshot, verification code, or mastery report, state exactly what to submit and where.</w:t>
      </w:r>
    </w:p>
    <w:p>
      <w:pPr>
        <w:pStyle w:val="ListBullet"/>
      </w:pPr>
      <w:r>
        <w:t>Mastery Report 2.0 summarizes performance evidence and the strongest and weakest signals; it does not claim perfect diagnosis from every run.</w:t>
      </w:r>
    </w:p>
    <w:p>
      <w:pPr>
        <w:pStyle w:val="ListBullet"/>
      </w:pPr>
      <w:r>
        <w:t>When a meaningful weakness maps to an available review, students can open that one-page Concept Review from the Mastery Quests web library, then return to targeted practice, Repair, or Bridge. A clean run may produce no review recommendation.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Do not promise that local progress follows the student across devices. It does not.</w:t>
      </w:r>
    </w:p>
    <w:p>
      <w:pPr>
        <w:pStyle w:val="Heading1"/>
        <w:spacing w:before="120" w:after="60"/>
      </w:pPr>
      <w:r>
        <w:t>7. Accessibility and course fit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Test keyboard navigation and graph enlargement.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Check mobile behavior in the same LMS context students will use.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Provide an alternative when institutional accessibility needs or device limitations make the game unsuitable for a learner.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Do not make speed the primary grading criterion unless speed itself is an aligned learning outcome.</w:t>
      </w:r>
    </w:p>
    <w:p>
      <w:pPr>
        <w:pStyle w:val="Heading1"/>
        <w:spacing w:before="120" w:after="60"/>
      </w:pPr>
      <w:r>
        <w:t>8. Final launch checklist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The game title and assigned mode match the Canvas instructions.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The public URL works in a private browser window.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Every enabled mode was tested.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Intentional misses and remediation were tested.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Graphs and mobile layout were tested.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Student View opens the embedded game correctly.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The evidence students must submit is stated clearly.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The privacy statement matches the current local-storage workflow.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A clean copy of the ZIP and composition recipe is archived.</w:t>
      </w:r>
    </w:p>
    <w:p>
      <w:pPr>
        <w:spacing w:before="0" w:after="20" w:line="240" w:lineRule="auto"/>
      </w:pPr>
      <w:r>
        <w:rPr>
          <w:sz w:val="18"/>
        </w:rPr>
        <w:t>☐  A mapped Mastery Report recommendation opens the correct Concept Review from the Mastery Quests web library.</w:t>
      </w:r>
    </w:p>
    <w:p>
      <w:pPr>
        <w:spacing w:before="0" w:after="20" w:line="240" w:lineRule="auto"/>
      </w:pPr>
      <w:r>
        <w:rPr>
          <w:sz w:val="18"/>
        </w:rPr>
        <w:t>☐  Student directions explain the review-to-practice loop without promising a review after every run.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F6B7A"/>
        <w:sz w:val="16"/>
      </w:rPr>
      <w:t>masteryquests.org  •  Current faculty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F6B7A"/>
        <w:sz w:val="16"/>
      </w:rPr>
      <w:t>MASTERY QUESTS  •  FACULTY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A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06245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6245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6245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5F6B7A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spacing w:after="60"/>
    </w:pPr>
    <w:rPr>
      <w:rFonts w:ascii="Aptos" w:hAnsi="Aptos"/>
      <w:b/>
      <w:color w:val="0FA9A5"/>
      <w:sz w:val="17"/>
    </w:rPr>
  </w:style>
  <w:style w:type="paragraph" w:customStyle="1" w:styleId="Callout">
    <w:name w:val="Callout"/>
    <w:pPr>
      <w:ind w:left="259" w:right="144"/>
    </w:pPr>
    <w:rPr>
      <w:rFonts w:ascii="Aptos" w:hAnsi="Aptos"/>
      <w:color w:val="0A172A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