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anumGothic" w:hAnsi="NanumGothic" w:eastAsia="NanumGothic"/>
          <w:b/>
          <w:color w:val="2F3A8F"/>
          <w:sz w:val="36"/>
        </w:rPr>
        <w:t>VOC 분류 및 라우팅 가이드</w:t>
      </w:r>
    </w:p>
    <w:p>
      <w:r>
        <w:rPr>
          <w:rFonts w:ascii="NanumGothic" w:hAnsi="NanumGothic" w:eastAsia="NanumGothic"/>
          <w:sz w:val="18"/>
        </w:rPr>
        <w:t>원천: 한국철도공사 상담유형 테이블 + 상담 자동화 fixture</w:t>
      </w:r>
    </w:p>
    <w:p>
      <w:r>
        <w:rPr>
          <w:rFonts w:ascii="NanumGothic" w:hAnsi="NanumGothic" w:eastAsia="NanumGothic"/>
          <w:b/>
          <w:color w:val="2F3A8F"/>
          <w:sz w:val="26"/>
        </w:rPr>
        <w:t>목적</w:t>
      </w:r>
    </w:p>
    <w:p>
      <w:pPr>
        <w:spacing w:after="80"/>
      </w:pPr>
      <w:r>
        <w:t>상담유형 코드표를 기반으로 고객 문의를 1차 분류하고, 자동응답/상담원 연결/전문부서 이관 기준을 정의한다.</w:t>
      </w:r>
    </w:p>
    <w:p>
      <w:r>
        <w:rPr>
          <w:rFonts w:ascii="NanumGothic" w:hAnsi="NanumGothic" w:eastAsia="NanumGothic"/>
          <w:b/>
          <w:color w:val="2F3A8F"/>
          <w:sz w:val="26"/>
        </w:rPr>
        <w:t>파서 테스트 포인트</w:t>
      </w:r>
    </w:p>
    <w:p>
      <w:pPr>
        <w:spacing w:after="60"/>
      </w:pPr>
      <w:r>
        <w:t>코드표 테이블 구조 보존</w:t>
      </w:r>
    </w:p>
    <w:p>
      <w:pPr>
        <w:spacing w:after="60"/>
      </w:pPr>
      <w:r>
        <w:t>긴 유형명 텍스트 줄바꿈</w:t>
      </w:r>
    </w:p>
    <w:p>
      <w:pPr>
        <w:spacing w:after="60"/>
      </w:pPr>
      <w:r>
        <w:t>문단과 표 혼합 문서</w:t>
      </w:r>
    </w:p>
    <w:p>
      <w:pPr>
        <w:spacing w:after="60"/>
      </w:pPr>
      <w:r>
        <w:t>라우팅 정책 키워드 보존</w:t>
      </w:r>
    </w:p>
    <w:p>
      <w:r>
        <w:rPr>
          <w:rFonts w:ascii="NanumGothic" w:hAnsi="NanumGothic" w:eastAsia="NanumGothic"/>
          <w:b/>
          <w:color w:val="2F3A8F"/>
          <w:sz w:val="26"/>
        </w:rPr>
        <w:t>상담유형 라우팅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상담코드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상담유형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그룹명</w:t>
            </w:r>
          </w:p>
        </w:tc>
        <w:tc>
          <w:tcPr>
            <w:tcW w:type="dxa" w:w="2628"/>
            <w:shd w:fill="385A7C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라우팅정책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010101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열차시각/운임/잔여석안내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시각/운임문의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FAQ 자동응답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010102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전철시각/운임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시각/운임문의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FAQ 자동응답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010103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공항철도 안내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시각/운임문의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긴급 확인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010201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SMS티켓안내/발송/확인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자가티켓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상담원 연결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010202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홈티켓안내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자가티켓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긴급 확인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010204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모바일안내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자가티켓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긴급 확인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010205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자가티켓(홈티켓/스마트티켓)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자가티켓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상담원 연결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010206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외부플랫폼(네이버/카카오) 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자가티켓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상담원 연결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010301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승차권구입 방법안내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승차권관련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FAQ 자동응답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010302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승차권반환 방법안내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승차권관련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FAQ 자동응답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010303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정기권(일반/기간자유/좌석지정)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승차권관련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긴급 확인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010304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단체승차권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승차권관련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상담원 연결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010305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명절(설/추석)승차권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승차권관련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전문부서 이관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010306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분실재발행(분실/분실증명서)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승차권관련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FAQ 자동응답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010308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영화객실 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승차권관련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긴급 확인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010309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여행상품_여행사/지역/코레일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승차권관련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전문부서 이관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010311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열차지연(보상문의)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승차권관련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전문부서 이관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010312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신용카드 이용관련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승차권관련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긴급 확인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010313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O/V-train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승차권관련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전문부서 이관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010314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DMZ-train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승차권관련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전문부서 이관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