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157DD">
      <w:pPr>
        <w:jc w:val="center"/>
      </w:pPr>
      <w:r>
        <w:rPr>
          <w:rFonts w:ascii="宋体" w:hAnsi="宋体" w:eastAsia="宋体"/>
          <w:b/>
          <w:sz w:val="44"/>
        </w:rPr>
        <w:t>第八届CCF开源创新大赛</w:t>
      </w:r>
    </w:p>
    <w:p w14:paraId="5802B77A">
      <w:pPr>
        <w:jc w:val="center"/>
      </w:pPr>
      <w:r>
        <w:rPr>
          <w:rFonts w:ascii="宋体" w:hAnsi="宋体" w:eastAsia="宋体"/>
          <w:b/>
          <w:sz w:val="32"/>
        </w:rPr>
        <w:t xml:space="preserve">国产开源GPU AI创新生态赛 </w:t>
      </w:r>
    </w:p>
    <w:p w14:paraId="26809F59"/>
    <w:p w14:paraId="3944EA4E">
      <w:pPr>
        <w:jc w:val="center"/>
      </w:pPr>
      <w:r>
        <w:rPr>
          <w:rFonts w:ascii="宋体" w:hAnsi="宋体" w:eastAsia="宋体"/>
          <w:b/>
          <w:sz w:val="48"/>
        </w:rPr>
        <w:t>技术报告</w:t>
      </w:r>
    </w:p>
    <w:p w14:paraId="5F779B57"/>
    <w:p w14:paraId="26B1D3DC">
      <w:pPr>
        <w:jc w:val="center"/>
      </w:pPr>
      <w:r>
        <w:rPr>
          <w:rFonts w:ascii="宋体" w:hAnsi="宋体" w:eastAsia="宋体"/>
          <w:b/>
          <w:sz w:val="40"/>
        </w:rPr>
        <w:t>心镜·AIGC智能体平台</w:t>
      </w:r>
    </w:p>
    <w:p w14:paraId="3EDD3433">
      <w:pPr>
        <w:jc w:val="center"/>
      </w:pPr>
      <w:r>
        <w:rPr>
          <w:rFonts w:ascii="宋体" w:hAnsi="宋体" w:eastAsia="宋体"/>
          <w:b w:val="0"/>
          <w:sz w:val="28"/>
        </w:rPr>
        <w:t>MindMirror AIGC Agent Platform</w:t>
      </w:r>
    </w:p>
    <w:p w14:paraId="0BB3FED8">
      <w:pPr>
        <w:jc w:val="center"/>
        <w:rPr>
          <w:rFonts w:ascii="宋体" w:hAnsi="宋体" w:eastAsia="宋体"/>
          <w:b w:val="0"/>
          <w:sz w:val="24"/>
        </w:rPr>
      </w:pPr>
    </w:p>
    <w:p w14:paraId="32F87E2D">
      <w:pPr>
        <w:ind w:firstLine="1960" w:firstLineChars="700"/>
        <w:jc w:val="left"/>
        <w:rPr>
          <w:sz w:val="28"/>
          <w:szCs w:val="24"/>
        </w:rPr>
      </w:pPr>
      <w:r>
        <w:rPr>
          <w:rFonts w:ascii="宋体" w:hAnsi="宋体" w:eastAsia="宋体"/>
          <w:b w:val="0"/>
          <w:sz w:val="28"/>
          <w:szCs w:val="24"/>
        </w:rPr>
        <w:t>队长：王建豪 | 队员：吴锴嘉、何柏翰</w:t>
      </w:r>
    </w:p>
    <w:p w14:paraId="479298EE">
      <w:pPr>
        <w:ind w:firstLine="1960" w:firstLineChars="700"/>
        <w:jc w:val="left"/>
        <w:rPr>
          <w:rFonts w:ascii="宋体" w:hAnsi="宋体" w:eastAsia="宋体"/>
          <w:b w:val="0"/>
          <w:sz w:val="28"/>
          <w:szCs w:val="24"/>
        </w:rPr>
      </w:pPr>
      <w:r>
        <w:rPr>
          <w:rFonts w:ascii="宋体" w:hAnsi="宋体" w:eastAsia="宋体"/>
          <w:b w:val="0"/>
          <w:sz w:val="28"/>
          <w:szCs w:val="24"/>
        </w:rPr>
        <w:t>指导老师：刘寿强 | 华南师范大学</w:t>
      </w:r>
    </w:p>
    <w:p w14:paraId="48887C9C">
      <w:pPr>
        <w:ind w:firstLine="1960" w:firstLineChars="700"/>
        <w:jc w:val="left"/>
        <w:rPr>
          <w:rFonts w:hint="default" w:ascii="宋体" w:hAnsi="宋体" w:eastAsia="宋体"/>
          <w:b w:val="0"/>
          <w:sz w:val="28"/>
          <w:szCs w:val="24"/>
          <w:lang w:val="en-US" w:eastAsia="zh-CN"/>
        </w:rPr>
      </w:pPr>
      <w:r>
        <w:rPr>
          <w:rFonts w:hint="eastAsia"/>
          <w:b w:val="0"/>
          <w:sz w:val="28"/>
          <w:szCs w:val="24"/>
          <w:lang w:val="en-US" w:eastAsia="zh-CN"/>
        </w:rPr>
        <w:t>联系方式：18928109264</w:t>
      </w:r>
    </w:p>
    <w:p w14:paraId="2DE02705">
      <w:pPr>
        <w:jc w:val="center"/>
        <w:rPr>
          <w:rFonts w:hint="default" w:ascii="宋体" w:hAnsi="宋体" w:eastAsia="宋体"/>
          <w:b w:val="0"/>
          <w:sz w:val="28"/>
          <w:szCs w:val="24"/>
          <w:lang w:val="en-US" w:eastAsia="zh-CN"/>
        </w:rPr>
      </w:pPr>
      <w:r>
        <w:rPr>
          <w:rFonts w:hint="eastAsia"/>
          <w:b w:val="0"/>
          <w:sz w:val="28"/>
          <w:szCs w:val="24"/>
          <w:lang w:val="en-US" w:eastAsia="zh-CN"/>
        </w:rPr>
        <w:t xml:space="preserve">    作品地址：</w:t>
      </w:r>
      <w:r>
        <w:rPr>
          <w:rFonts w:hint="eastAsia"/>
          <w:b w:val="0"/>
          <w:color w:val="auto"/>
          <w:sz w:val="28"/>
          <w:szCs w:val="24"/>
          <w:u w:val="none"/>
          <w:lang w:val="en-US" w:eastAsia="zh-CN"/>
        </w:rPr>
        <w:t>https://www.gitlink.org.cn/w55224545/Xinjing</w:t>
      </w:r>
      <w:r>
        <w:rPr>
          <w:rFonts w:hint="eastAsia"/>
          <w:b w:val="0"/>
          <w:sz w:val="28"/>
          <w:szCs w:val="24"/>
          <w:lang w:val="en-US" w:eastAsia="zh-CN"/>
        </w:rPr>
        <w:t>-AIGC-Agent-Platform</w:t>
      </w:r>
    </w:p>
    <w:p w14:paraId="1C4A9B7A">
      <w:pPr>
        <w:jc w:val="center"/>
        <w:rPr>
          <w:rFonts w:ascii="宋体" w:hAnsi="宋体" w:eastAsia="宋体"/>
          <w:b w:val="0"/>
          <w:sz w:val="24"/>
        </w:rPr>
      </w:pPr>
    </w:p>
    <w:p w14:paraId="643288F3">
      <w:pPr>
        <w:jc w:val="center"/>
        <w:rPr>
          <w:rFonts w:ascii="宋体" w:hAnsi="宋体" w:eastAsia="宋体"/>
          <w:b w:val="0"/>
          <w:sz w:val="24"/>
        </w:rPr>
      </w:pPr>
    </w:p>
    <w:p w14:paraId="6C8795CF">
      <w:pPr>
        <w:jc w:val="center"/>
        <w:rPr>
          <w:rFonts w:ascii="宋体" w:hAnsi="宋体" w:eastAsia="宋体"/>
          <w:b w:val="0"/>
          <w:sz w:val="24"/>
        </w:rPr>
      </w:pPr>
    </w:p>
    <w:p w14:paraId="342EA4BE">
      <w:pPr>
        <w:jc w:val="center"/>
        <w:rPr>
          <w:rFonts w:ascii="宋体" w:hAnsi="宋体" w:eastAsia="宋体"/>
          <w:b w:val="0"/>
          <w:sz w:val="24"/>
        </w:rPr>
      </w:pPr>
    </w:p>
    <w:p w14:paraId="1F2D4661">
      <w:pPr>
        <w:jc w:val="center"/>
        <w:rPr>
          <w:rFonts w:ascii="宋体" w:hAnsi="宋体" w:eastAsia="宋体"/>
          <w:b w:val="0"/>
          <w:sz w:val="24"/>
        </w:rPr>
      </w:pPr>
    </w:p>
    <w:p w14:paraId="664C4037">
      <w:pPr>
        <w:jc w:val="center"/>
        <w:rPr>
          <w:rFonts w:ascii="宋体" w:hAnsi="宋体" w:eastAsia="宋体"/>
          <w:b w:val="0"/>
          <w:sz w:val="24"/>
        </w:rPr>
      </w:pPr>
    </w:p>
    <w:p w14:paraId="08720500">
      <w:pPr>
        <w:jc w:val="center"/>
        <w:rPr>
          <w:rFonts w:ascii="宋体" w:hAnsi="宋体" w:eastAsia="宋体"/>
          <w:b w:val="0"/>
          <w:sz w:val="24"/>
        </w:rPr>
      </w:pPr>
    </w:p>
    <w:p w14:paraId="01F5CBED">
      <w:pPr>
        <w:jc w:val="center"/>
        <w:rPr>
          <w:rFonts w:ascii="宋体" w:hAnsi="宋体" w:eastAsia="宋体"/>
          <w:b w:val="0"/>
          <w:sz w:val="24"/>
        </w:rPr>
      </w:pPr>
    </w:p>
    <w:p w14:paraId="4CB03D7D">
      <w:pPr>
        <w:jc w:val="center"/>
        <w:rPr>
          <w:rFonts w:ascii="宋体" w:hAnsi="宋体" w:eastAsia="宋体"/>
          <w:b w:val="0"/>
          <w:sz w:val="24"/>
        </w:rPr>
      </w:pPr>
    </w:p>
    <w:p w14:paraId="3A144F48">
      <w:pPr>
        <w:jc w:val="both"/>
        <w:rPr>
          <w:rFonts w:hint="default" w:ascii="宋体" w:hAnsi="宋体" w:eastAsia="宋体"/>
          <w:b w:val="0"/>
          <w:sz w:val="24"/>
          <w:lang w:val="en-US" w:eastAsia="zh-CN"/>
        </w:rPr>
      </w:pPr>
    </w:p>
    <w:p w14:paraId="6AB00A82"/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336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4"/>
          <w:szCs w:val="22"/>
          <w:lang w:val="en-US" w:eastAsia="en-US" w:bidi="ar-SA"/>
        </w:rPr>
      </w:sdtEndPr>
      <w:sdtContent>
        <w:p w14:paraId="6BE28DF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7" w:name="_GoBack"/>
          <w:bookmarkEnd w:id="7"/>
          <w:r>
            <w:rPr>
              <w:rFonts w:ascii="宋体" w:hAnsi="宋体" w:eastAsia="宋体"/>
              <w:sz w:val="21"/>
            </w:rPr>
            <w:t>目录</w:t>
          </w:r>
        </w:p>
        <w:p w14:paraId="6D96BE15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_Toc18153 </w:instrText>
          </w:r>
          <w:r>
            <w:fldChar w:fldCharType="separate"/>
          </w:r>
          <w:r>
            <w:t>摘要</w:t>
          </w:r>
          <w:r>
            <w:tab/>
          </w:r>
          <w:r>
            <w:fldChar w:fldCharType="begin"/>
          </w:r>
          <w:r>
            <w:instrText xml:space="preserve"> PAGEREF _Toc18153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E1755D9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_Toc11524 </w:instrText>
          </w:r>
          <w:r>
            <w:fldChar w:fldCharType="separate"/>
          </w:r>
          <w:r>
            <w:t>一、作品整体设计方案</w:t>
          </w:r>
          <w:r>
            <w:tab/>
          </w:r>
          <w:r>
            <w:fldChar w:fldCharType="begin"/>
          </w:r>
          <w:r>
            <w:instrText xml:space="preserve"> PAGEREF _Toc11524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EF70CC7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_Toc23420 </w:instrText>
          </w:r>
          <w:r>
            <w:fldChar w:fldCharType="separate"/>
          </w:r>
          <w:r>
            <w:t>二、详细实现逻辑</w:t>
          </w:r>
          <w:r>
            <w:tab/>
          </w:r>
          <w:r>
            <w:fldChar w:fldCharType="begin"/>
          </w:r>
          <w:r>
            <w:instrText xml:space="preserve"> PAGEREF _Toc23420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E798D1B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_Toc29931 </w:instrText>
          </w:r>
          <w:r>
            <w:fldChar w:fldCharType="separate"/>
          </w:r>
          <w:r>
            <w:t>三、全量测试结果与性能分析</w:t>
          </w:r>
          <w:r>
            <w:tab/>
          </w:r>
          <w:r>
            <w:fldChar w:fldCharType="begin"/>
          </w:r>
          <w:r>
            <w:instrText xml:space="preserve"> PAGEREF _Toc29931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5177396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_Toc9350 </w:instrText>
          </w:r>
          <w:r>
            <w:fldChar w:fldCharType="separate"/>
          </w:r>
          <w:r>
            <w:t>四、特色创新点</w:t>
          </w:r>
          <w:r>
            <w:tab/>
          </w:r>
          <w:r>
            <w:fldChar w:fldCharType="begin"/>
          </w:r>
          <w:r>
            <w:instrText xml:space="preserve"> PAGEREF _Toc9350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ED9D350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_Toc8876 </w:instrText>
          </w:r>
          <w:r>
            <w:fldChar w:fldCharType="separate"/>
          </w:r>
          <w:r>
            <w:t>五、开源协作过程说明</w:t>
          </w:r>
          <w:r>
            <w:tab/>
          </w:r>
          <w:r>
            <w:fldChar w:fldCharType="begin"/>
          </w:r>
          <w:r>
            <w:instrText xml:space="preserve"> PAGEREF _Toc8876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8D64204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_Toc16198 </w:instrText>
          </w:r>
          <w:r>
            <w:fldChar w:fldCharType="separate"/>
          </w:r>
          <w:r>
            <w:t>六、部署与使用</w:t>
          </w:r>
          <w:r>
            <w:tab/>
          </w:r>
          <w:r>
            <w:fldChar w:fldCharType="begin"/>
          </w:r>
          <w:r>
            <w:instrText xml:space="preserve"> PAGEREF _Toc16198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E150D41">
          <w:pPr>
            <w:rPr>
              <w:rFonts w:ascii="宋体" w:hAnsi="宋体" w:eastAsia="宋体" w:cstheme="minorBidi"/>
              <w:sz w:val="24"/>
              <w:szCs w:val="22"/>
              <w:lang w:val="en-US" w:eastAsia="en-US" w:bidi="ar-SA"/>
            </w:rPr>
          </w:pPr>
          <w:r>
            <w:fldChar w:fldCharType="end"/>
          </w:r>
        </w:p>
      </w:sdtContent>
    </w:sdt>
    <w:p w14:paraId="72DE6C50">
      <w:pPr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</w:p>
    <w:p w14:paraId="7D070467">
      <w:pPr>
        <w:pStyle w:val="3"/>
      </w:pPr>
      <w:bookmarkStart w:id="0" w:name="_Toc18153"/>
    </w:p>
    <w:p w14:paraId="65ED02AF">
      <w:pPr>
        <w:pStyle w:val="3"/>
      </w:pPr>
    </w:p>
    <w:p w14:paraId="73FB1455">
      <w:pPr>
        <w:pStyle w:val="3"/>
      </w:pPr>
    </w:p>
    <w:p w14:paraId="34699346">
      <w:pPr>
        <w:pStyle w:val="3"/>
      </w:pPr>
    </w:p>
    <w:p w14:paraId="6929CA9F"/>
    <w:p w14:paraId="19BC9F5D"/>
    <w:p w14:paraId="4DCEEC45"/>
    <w:p w14:paraId="12FED050">
      <w:pPr>
        <w:pStyle w:val="3"/>
      </w:pPr>
    </w:p>
    <w:p w14:paraId="689BB20E"/>
    <w:p w14:paraId="42C5EB0E"/>
    <w:p w14:paraId="56DF247D">
      <w:pPr>
        <w:pStyle w:val="3"/>
      </w:pPr>
      <w:r>
        <w:t>摘要</w:t>
      </w:r>
      <w:bookmarkEnd w:id="0"/>
    </w:p>
    <w:p w14:paraId="21648F63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"心镜"是一个面向智慧教室场景的AIGC智能体平台。平台以国产沐曦MetaX GPU算力为底座，搭载moark.com平台Lingshu-32B大模型作为核心推理引擎，基于LangChain和LangGraph开源框架构建5智能体协作架构（感知→分析→报告→预警→协调），集成VibraImage前庭振动识别引擎（Viktor Minkin专著公式体系），融合面部微表情与头部微振动双模态数据，实现从实时情绪感知、深度心理分析到AIGC内容自动生成的全流程智能化。</w:t>
      </w:r>
    </w:p>
    <w:p w14:paraId="7F9E5472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平台核心特性包括：(1) 5个独立ReAct Agent协作，Lingshu-32B驱动推理与AIGC生成，LLM不可用时自动降级模板模式；(2) 双模态情绪识别——面部微表情（权重0.6）+ VibraImage前庭振动（权重0.4），置信度差异&gt;35%触发复核；(3) VibraImage白盒引擎——基于Minkin专著公式，12个物理含义明确的E1-E12情绪参数；(4) AIGC内容生成——自动生成心理评估日报、个性化干预方案、家校沟通函、学生成长叙事四类内容；(5) 三级预警系统——绿/黄/红分级，7渠道通知。</w:t>
      </w:r>
    </w:p>
    <w:p w14:paraId="1ED3F001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平台采用FastAPI + Vue 3全栈架构，37个API端点，支持Docker容器化部署。自动化测试56项全部通过，LLM API平均调用延迟2.35秒，成功率100%。技术栈包括LangChain 0.3.13、LangGraph 0.2.60、FastAPI 0.115、Vue 3.5、SQLite、Docker等。项目已在GitHub和GitLink双平台开源（Apache 2.0协议），配套完整的技术文档和部署指南。</w:t>
      </w:r>
    </w:p>
    <w:p w14:paraId="6D0A9636">
      <w:pPr>
        <w:ind w:firstLine="442" w:firstLineChars="200"/>
      </w:pPr>
      <w:r>
        <w:rPr>
          <w:rFonts w:ascii="宋体" w:hAnsi="宋体" w:eastAsia="宋体"/>
          <w:b/>
          <w:sz w:val="22"/>
        </w:rPr>
        <w:t>关键词：AIGC智能体；多Agent协作；VibraImage前庭振动；Lingshu-32B大模型；心理健康监测；沐曦MetaX国产GPU；LangGraph；双模态情绪识别</w:t>
      </w:r>
    </w:p>
    <w:p w14:paraId="5C441DF6">
      <w:r>
        <w:br w:type="page"/>
      </w:r>
    </w:p>
    <w:p w14:paraId="51C63873">
      <w:pPr>
        <w:pStyle w:val="3"/>
      </w:pPr>
      <w:bookmarkStart w:id="1" w:name="_Toc11524"/>
      <w:r>
        <w:t>一、作品整体设计方案</w:t>
      </w:r>
      <w:bookmarkEnd w:id="1"/>
    </w:p>
    <w:p w14:paraId="5F637F8A">
      <w:pPr>
        <w:pStyle w:val="4"/>
      </w:pPr>
      <w:r>
        <w:t>1.1 系统架构</w:t>
      </w:r>
    </w:p>
    <w:p w14:paraId="22FBBA56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心镜平台采用前后端分离的三层架构：前端展示层（Vue 3 + Vite + ECharts）、后端服务层（FastAPI + LangGraph）、AI算力层（moark.com Lingshu-32B + DeepSeek备用）。</w:t>
      </w:r>
    </w:p>
    <w:p w14:paraId="17EC7ADD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整体架构如下图所示（ASCII架构图）：</w:t>
      </w:r>
    </w:p>
    <w:p w14:paraId="0CF3AEF0">
      <w:pPr>
        <w:pStyle w:val="4"/>
        <w:jc w:val="center"/>
      </w:pPr>
      <w:r>
        <w:drawing>
          <wp:inline distT="0" distB="0" distL="114300" distR="114300">
            <wp:extent cx="5262880" cy="2956560"/>
            <wp:effectExtent l="0" t="0" r="7620" b="2540"/>
            <wp:docPr id="2" name="图片 2" descr="b0bc30c3f89b934c309fe1e2555bae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0bc30c3f89b934c309fe1e2555baeb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98CE">
      <w:pPr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图1 心镜平台三层系统架构图</w:t>
      </w:r>
    </w:p>
    <w:p w14:paraId="6033A641">
      <w:pPr>
        <w:jc w:val="center"/>
        <w:rPr>
          <w:rFonts w:hint="default"/>
          <w:sz w:val="21"/>
          <w:szCs w:val="21"/>
          <w:lang w:val="en-US" w:eastAsia="zh-CN"/>
        </w:rPr>
      </w:pPr>
    </w:p>
    <w:p w14:paraId="41E39231">
      <w:pPr>
        <w:pStyle w:val="4"/>
      </w:pPr>
      <w:r>
        <w:t>1.2 技术选型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41DD3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39F327B">
            <w:pPr>
              <w:spacing w:after="0" w:line="240" w:lineRule="auto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w="2075" w:type="dxa"/>
          </w:tcPr>
          <w:p w14:paraId="2760BA0E">
            <w:pPr>
              <w:spacing w:after="0" w:line="240" w:lineRule="auto"/>
            </w:pPr>
            <w:r>
              <w:rPr>
                <w:b/>
                <w:sz w:val="18"/>
              </w:rPr>
              <w:t>技术</w:t>
            </w:r>
          </w:p>
        </w:tc>
        <w:tc>
          <w:tcPr>
            <w:tcW w:w="2075" w:type="dxa"/>
          </w:tcPr>
          <w:p w14:paraId="7FD833DE">
            <w:pPr>
              <w:spacing w:after="0" w:line="240" w:lineRule="auto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2075" w:type="dxa"/>
          </w:tcPr>
          <w:p w14:paraId="6C314964">
            <w:pPr>
              <w:spacing w:after="0" w:line="240" w:lineRule="auto"/>
            </w:pPr>
            <w:r>
              <w:rPr>
                <w:b/>
                <w:sz w:val="18"/>
              </w:rPr>
              <w:t>说明</w:t>
            </w:r>
          </w:p>
        </w:tc>
      </w:tr>
      <w:tr w14:paraId="35B11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DE64558">
            <w:pPr>
              <w:spacing w:after="0" w:line="240" w:lineRule="auto"/>
            </w:pPr>
            <w:r>
              <w:rPr>
                <w:sz w:val="18"/>
              </w:rPr>
              <w:t>主推理模型</w:t>
            </w:r>
          </w:p>
        </w:tc>
        <w:tc>
          <w:tcPr>
            <w:tcW w:w="2075" w:type="dxa"/>
          </w:tcPr>
          <w:p w14:paraId="75711937">
            <w:pPr>
              <w:spacing w:after="0" w:line="240" w:lineRule="auto"/>
            </w:pPr>
            <w:r>
              <w:rPr>
                <w:sz w:val="18"/>
              </w:rPr>
              <w:t>Lingshu-32B</w:t>
            </w:r>
          </w:p>
        </w:tc>
        <w:tc>
          <w:tcPr>
            <w:tcW w:w="2075" w:type="dxa"/>
          </w:tcPr>
          <w:p w14:paraId="2C8861C4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075" w:type="dxa"/>
          </w:tcPr>
          <w:p w14:paraId="4DBB763A">
            <w:pPr>
              <w:spacing w:after="0" w:line="240" w:lineRule="auto"/>
            </w:pPr>
            <w:r>
              <w:rPr>
                <w:sz w:val="18"/>
              </w:rPr>
              <w:t>moark.com 沐曦MetaX GPU推理</w:t>
            </w:r>
          </w:p>
        </w:tc>
      </w:tr>
      <w:tr w14:paraId="21106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41E43A8">
            <w:pPr>
              <w:spacing w:after="0" w:line="240" w:lineRule="auto"/>
            </w:pPr>
            <w:r>
              <w:rPr>
                <w:sz w:val="18"/>
              </w:rPr>
              <w:t>备用推理</w:t>
            </w:r>
          </w:p>
        </w:tc>
        <w:tc>
          <w:tcPr>
            <w:tcW w:w="2075" w:type="dxa"/>
          </w:tcPr>
          <w:p w14:paraId="5B213FF5">
            <w:pPr>
              <w:spacing w:after="0" w:line="240" w:lineRule="auto"/>
            </w:pPr>
            <w:r>
              <w:rPr>
                <w:sz w:val="18"/>
              </w:rPr>
              <w:t>DeepSeek</w:t>
            </w:r>
          </w:p>
        </w:tc>
        <w:tc>
          <w:tcPr>
            <w:tcW w:w="2075" w:type="dxa"/>
          </w:tcPr>
          <w:p w14:paraId="4328E4B0">
            <w:pPr>
              <w:spacing w:after="0" w:line="240" w:lineRule="auto"/>
            </w:pPr>
            <w:r>
              <w:rPr>
                <w:sz w:val="18"/>
              </w:rPr>
              <w:t>deepseek-chat</w:t>
            </w:r>
          </w:p>
        </w:tc>
        <w:tc>
          <w:tcPr>
            <w:tcW w:w="2075" w:type="dxa"/>
          </w:tcPr>
          <w:p w14:paraId="1821A341">
            <w:pPr>
              <w:spacing w:after="0" w:line="240" w:lineRule="auto"/>
            </w:pPr>
            <w:r>
              <w:rPr>
                <w:sz w:val="18"/>
              </w:rPr>
              <w:t>自动Fallback</w:t>
            </w:r>
          </w:p>
        </w:tc>
      </w:tr>
      <w:tr w14:paraId="7A702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05C0C83">
            <w:pPr>
              <w:spacing w:after="0" w:line="240" w:lineRule="auto"/>
            </w:pPr>
            <w:r>
              <w:rPr>
                <w:sz w:val="18"/>
              </w:rPr>
              <w:t>后端框架</w:t>
            </w:r>
          </w:p>
        </w:tc>
        <w:tc>
          <w:tcPr>
            <w:tcW w:w="2075" w:type="dxa"/>
          </w:tcPr>
          <w:p w14:paraId="47DF0D23">
            <w:pPr>
              <w:spacing w:after="0" w:line="240" w:lineRule="auto"/>
            </w:pPr>
            <w:r>
              <w:rPr>
                <w:sz w:val="18"/>
              </w:rPr>
              <w:t>FastAPI</w:t>
            </w:r>
          </w:p>
        </w:tc>
        <w:tc>
          <w:tcPr>
            <w:tcW w:w="2075" w:type="dxa"/>
          </w:tcPr>
          <w:p w14:paraId="56A2C0F0">
            <w:pPr>
              <w:spacing w:after="0" w:line="240" w:lineRule="auto"/>
            </w:pPr>
            <w:r>
              <w:rPr>
                <w:sz w:val="18"/>
              </w:rPr>
              <w:t>0.115</w:t>
            </w:r>
          </w:p>
        </w:tc>
        <w:tc>
          <w:tcPr>
            <w:tcW w:w="2075" w:type="dxa"/>
          </w:tcPr>
          <w:p w14:paraId="3A48C448">
            <w:pPr>
              <w:spacing w:after="0" w:line="240" w:lineRule="auto"/>
            </w:pPr>
            <w:r>
              <w:rPr>
                <w:sz w:val="18"/>
              </w:rPr>
              <w:t>异步Web + 自动Swagger</w:t>
            </w:r>
          </w:p>
        </w:tc>
      </w:tr>
      <w:tr w14:paraId="715C7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55636361">
            <w:pPr>
              <w:spacing w:after="0" w:line="240" w:lineRule="auto"/>
            </w:pPr>
            <w:r>
              <w:rPr>
                <w:sz w:val="18"/>
              </w:rPr>
              <w:t>AI编排</w:t>
            </w:r>
          </w:p>
        </w:tc>
        <w:tc>
          <w:tcPr>
            <w:tcW w:w="2075" w:type="dxa"/>
          </w:tcPr>
          <w:p w14:paraId="0678574C">
            <w:pPr>
              <w:spacing w:after="0" w:line="240" w:lineRule="auto"/>
            </w:pPr>
            <w:r>
              <w:rPr>
                <w:sz w:val="18"/>
              </w:rPr>
              <w:t>LangChain + LangGraph</w:t>
            </w:r>
          </w:p>
        </w:tc>
        <w:tc>
          <w:tcPr>
            <w:tcW w:w="2075" w:type="dxa"/>
          </w:tcPr>
          <w:p w14:paraId="1ACCD641">
            <w:pPr>
              <w:spacing w:after="0" w:line="240" w:lineRule="auto"/>
            </w:pPr>
            <w:r>
              <w:rPr>
                <w:sz w:val="18"/>
              </w:rPr>
              <w:t>0.3.13 / 0.2.60</w:t>
            </w:r>
          </w:p>
        </w:tc>
        <w:tc>
          <w:tcPr>
            <w:tcW w:w="2075" w:type="dxa"/>
          </w:tcPr>
          <w:p w14:paraId="16FD27F0">
            <w:pPr>
              <w:spacing w:after="0" w:line="240" w:lineRule="auto"/>
            </w:pPr>
            <w:r>
              <w:rPr>
                <w:sz w:val="18"/>
              </w:rPr>
              <w:t>ReAct + StateGraph</w:t>
            </w:r>
          </w:p>
        </w:tc>
      </w:tr>
      <w:tr w14:paraId="339E2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2E95CB5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  <w:tc>
          <w:tcPr>
            <w:tcW w:w="2075" w:type="dxa"/>
          </w:tcPr>
          <w:p w14:paraId="2D23AF34">
            <w:pPr>
              <w:spacing w:after="0" w:line="240" w:lineRule="auto"/>
            </w:pPr>
            <w:r>
              <w:rPr>
                <w:sz w:val="18"/>
              </w:rPr>
              <w:t>Vue 3 + Vite + ECharts</w:t>
            </w:r>
          </w:p>
        </w:tc>
        <w:tc>
          <w:tcPr>
            <w:tcW w:w="2075" w:type="dxa"/>
          </w:tcPr>
          <w:p w14:paraId="275FD3E0">
            <w:pPr>
              <w:spacing w:after="0" w:line="240" w:lineRule="auto"/>
            </w:pPr>
            <w:r>
              <w:rPr>
                <w:sz w:val="18"/>
              </w:rPr>
              <w:t>3.5 / 6.0 / 5.5</w:t>
            </w:r>
          </w:p>
        </w:tc>
        <w:tc>
          <w:tcPr>
            <w:tcW w:w="2075" w:type="dxa"/>
          </w:tcPr>
          <w:p w14:paraId="7449A7F7">
            <w:pPr>
              <w:spacing w:after="0" w:line="240" w:lineRule="auto"/>
            </w:pPr>
            <w:r>
              <w:rPr>
                <w:sz w:val="18"/>
              </w:rPr>
              <w:t>响应式仪表盘</w:t>
            </w:r>
          </w:p>
        </w:tc>
      </w:tr>
      <w:tr w14:paraId="4F392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8505E78">
            <w:pPr>
              <w:spacing w:after="0" w:line="240" w:lineRule="auto"/>
            </w:pPr>
            <w:r>
              <w:rPr>
                <w:sz w:val="18"/>
              </w:rPr>
              <w:t>数据库</w:t>
            </w:r>
          </w:p>
        </w:tc>
        <w:tc>
          <w:tcPr>
            <w:tcW w:w="2075" w:type="dxa"/>
          </w:tcPr>
          <w:p w14:paraId="04281FE1">
            <w:pPr>
              <w:spacing w:after="0" w:line="240" w:lineRule="auto"/>
            </w:pPr>
            <w:r>
              <w:rPr>
                <w:sz w:val="18"/>
              </w:rPr>
              <w:t>SQLite + SQLAlchemy</w:t>
            </w:r>
          </w:p>
        </w:tc>
        <w:tc>
          <w:tcPr>
            <w:tcW w:w="2075" w:type="dxa"/>
          </w:tcPr>
          <w:p w14:paraId="13CB0B70">
            <w:pPr>
              <w:spacing w:after="0" w:line="240" w:lineRule="auto"/>
            </w:pPr>
            <w:r>
              <w:rPr>
                <w:sz w:val="18"/>
              </w:rPr>
              <w:t>2.0</w:t>
            </w:r>
          </w:p>
        </w:tc>
        <w:tc>
          <w:tcPr>
            <w:tcW w:w="2075" w:type="dxa"/>
          </w:tcPr>
          <w:p w14:paraId="267ED2E3">
            <w:pPr>
              <w:spacing w:after="0" w:line="240" w:lineRule="auto"/>
            </w:pPr>
            <w:r>
              <w:rPr>
                <w:sz w:val="18"/>
              </w:rPr>
              <w:t>轻量级ORM</w:t>
            </w:r>
          </w:p>
        </w:tc>
      </w:tr>
      <w:tr w14:paraId="3BD47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C6256FF">
            <w:pPr>
              <w:spacing w:after="0" w:line="240" w:lineRule="auto"/>
            </w:pPr>
            <w:r>
              <w:rPr>
                <w:sz w:val="18"/>
              </w:rPr>
              <w:t>前庭振动引擎</w:t>
            </w:r>
          </w:p>
        </w:tc>
        <w:tc>
          <w:tcPr>
            <w:tcW w:w="2075" w:type="dxa"/>
          </w:tcPr>
          <w:p w14:paraId="6DE4B48F">
            <w:pPr>
              <w:spacing w:after="0" w:line="240" w:lineRule="auto"/>
            </w:pPr>
            <w:r>
              <w:rPr>
                <w:sz w:val="18"/>
              </w:rPr>
              <w:t>VibraImage + YOLOv8n</w:t>
            </w:r>
          </w:p>
        </w:tc>
        <w:tc>
          <w:tcPr>
            <w:tcW w:w="2075" w:type="dxa"/>
          </w:tcPr>
          <w:p w14:paraId="7C785E89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075" w:type="dxa"/>
          </w:tcPr>
          <w:p w14:paraId="66FB06C5">
            <w:pPr>
              <w:spacing w:after="0" w:line="240" w:lineRule="auto"/>
            </w:pPr>
            <w:r>
              <w:rPr>
                <w:sz w:val="18"/>
              </w:rPr>
              <w:t>Minkin专著公式体系</w:t>
            </w:r>
          </w:p>
        </w:tc>
      </w:tr>
      <w:tr w14:paraId="4832E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0E01B7C">
            <w:pPr>
              <w:spacing w:after="0" w:line="240" w:lineRule="auto"/>
            </w:pPr>
            <w:r>
              <w:rPr>
                <w:sz w:val="18"/>
              </w:rPr>
              <w:t>容器化</w:t>
            </w:r>
          </w:p>
        </w:tc>
        <w:tc>
          <w:tcPr>
            <w:tcW w:w="2075" w:type="dxa"/>
          </w:tcPr>
          <w:p w14:paraId="06F5F6B6">
            <w:pPr>
              <w:spacing w:after="0" w:line="240" w:lineRule="auto"/>
            </w:pPr>
            <w:r>
              <w:rPr>
                <w:sz w:val="18"/>
              </w:rPr>
              <w:t>Docker + Docker Compose</w:t>
            </w:r>
          </w:p>
        </w:tc>
        <w:tc>
          <w:tcPr>
            <w:tcW w:w="2075" w:type="dxa"/>
          </w:tcPr>
          <w:p w14:paraId="4232750C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075" w:type="dxa"/>
          </w:tcPr>
          <w:p w14:paraId="1A253A9A">
            <w:pPr>
              <w:spacing w:after="0" w:line="240" w:lineRule="auto"/>
            </w:pPr>
            <w:r>
              <w:rPr>
                <w:sz w:val="18"/>
              </w:rPr>
              <w:t>一键部署</w:t>
            </w:r>
          </w:p>
        </w:tc>
      </w:tr>
      <w:tr w14:paraId="63A30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2E96A2D">
            <w:pPr>
              <w:spacing w:after="0" w:line="240" w:lineRule="auto"/>
            </w:pPr>
            <w:r>
              <w:rPr>
                <w:sz w:val="18"/>
              </w:rPr>
              <w:t>实时通信</w:t>
            </w:r>
          </w:p>
        </w:tc>
        <w:tc>
          <w:tcPr>
            <w:tcW w:w="2075" w:type="dxa"/>
          </w:tcPr>
          <w:p w14:paraId="056E74A9">
            <w:pPr>
              <w:spacing w:after="0" w:line="240" w:lineRule="auto"/>
            </w:pPr>
            <w:r>
              <w:rPr>
                <w:sz w:val="18"/>
              </w:rPr>
              <w:t>SSE</w:t>
            </w:r>
          </w:p>
        </w:tc>
        <w:tc>
          <w:tcPr>
            <w:tcW w:w="2075" w:type="dxa"/>
          </w:tcPr>
          <w:p w14:paraId="7588786F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075" w:type="dxa"/>
          </w:tcPr>
          <w:p w14:paraId="35CB7F5F">
            <w:pPr>
              <w:spacing w:after="0" w:line="240" w:lineRule="auto"/>
            </w:pPr>
            <w:r>
              <w:rPr>
                <w:sz w:val="18"/>
              </w:rPr>
              <w:t>Server-Sent Events流式推送</w:t>
            </w:r>
          </w:p>
        </w:tc>
      </w:tr>
      <w:tr w14:paraId="5AB03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664F69F">
            <w:pPr>
              <w:spacing w:after="0" w:line="240" w:lineRule="auto"/>
            </w:pPr>
            <w:r>
              <w:rPr>
                <w:sz w:val="18"/>
              </w:rPr>
              <w:t>测试</w:t>
            </w:r>
          </w:p>
        </w:tc>
        <w:tc>
          <w:tcPr>
            <w:tcW w:w="2075" w:type="dxa"/>
          </w:tcPr>
          <w:p w14:paraId="6282811F">
            <w:pPr>
              <w:spacing w:after="0" w:line="240" w:lineRule="auto"/>
            </w:pPr>
            <w:r>
              <w:rPr>
                <w:sz w:val="18"/>
              </w:rPr>
              <w:t>Pytest</w:t>
            </w:r>
          </w:p>
        </w:tc>
        <w:tc>
          <w:tcPr>
            <w:tcW w:w="2075" w:type="dxa"/>
          </w:tcPr>
          <w:p w14:paraId="6386F500">
            <w:pPr>
              <w:spacing w:after="0" w:line="240" w:lineRule="auto"/>
            </w:pPr>
            <w:r>
              <w:rPr>
                <w:sz w:val="18"/>
              </w:rPr>
              <w:t>8.3</w:t>
            </w:r>
          </w:p>
        </w:tc>
        <w:tc>
          <w:tcPr>
            <w:tcW w:w="2075" w:type="dxa"/>
          </w:tcPr>
          <w:p w14:paraId="2949187B">
            <w:pPr>
              <w:spacing w:after="0" w:line="240" w:lineRule="auto"/>
            </w:pPr>
            <w:r>
              <w:rPr>
                <w:sz w:val="18"/>
              </w:rPr>
              <w:t>56项自动化测试</w:t>
            </w:r>
          </w:p>
        </w:tc>
      </w:tr>
    </w:tbl>
    <w:p w14:paraId="5959E9CA">
      <w:pPr>
        <w:jc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表1 系统技术选型总览</w:t>
      </w:r>
    </w:p>
    <w:p w14:paraId="61172897">
      <w:pPr>
        <w:pStyle w:val="4"/>
      </w:pPr>
      <w:r>
        <w:t>1.3 模块划分</w:t>
      </w:r>
    </w:p>
    <w:p w14:paraId="32F08A6C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项目按功能划分为8个核心模块：</w:t>
      </w:r>
    </w:p>
    <w:p w14:paraId="33579E29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(1) agents/ — 多智能体系统：base_agent.py（基类，含prompt-based ReAct循环）、perception_agent.py（感知）、analysis_agent.py（分析）、report_agent.py（AIGC报告）、alert_agent.py（预警）、orchestrator_agent.py（协调调度）。</w:t>
      </w:r>
    </w:p>
    <w:p w14:paraId="4E0BEFEA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(2) aigc/ — AIGC内容生成引擎：llm_client.py（LLM调用客户端，含并发控制+调用日志）、report_generator.py（LLM优先→模板降级）、plan_generator.py、letter_generator.py、narrative_generator.py。</w:t>
      </w:r>
    </w:p>
    <w:p w14:paraId="36D71E59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(3) vibraimage/ — 前庭振动引擎（18个文件）：pipeline/（主引擎+YOLOv8人脸检测）、core/（帧差分/频率分析/直方图/空间/频谱）、emotions/（E1-E12+K值+P14）。</w:t>
      </w:r>
    </w:p>
    <w:p w14:paraId="13E7BC73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(4) llm/ — 平台适配层：platform_adapter.py（多平台统一适配+ExtraBodyChatOpenAI）、deepseek.py（备用接口）。</w:t>
      </w:r>
    </w:p>
    <w:p w14:paraId="126B794A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(5) graph/ — LangGraph双环状态机：inner_loop.py（采集→识别→存储）、outer_loop.py（聚合→分析→预警→反馈）、7个节点文件。</w:t>
      </w:r>
    </w:p>
    <w:p w14:paraId="3B66B043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(6) tools/ — 核心工具层：emotion_recognition.py（双模态融合）、mental_health.py（12项指标+LSTM-Transformer）、feedback.py（7渠道通知）、obs_storage.py（华为云OBS）、vestibular_recognition.py（VibraImage调用封装）。</w:t>
      </w:r>
    </w:p>
    <w:p w14:paraId="40F544C0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(7) api/routes/ — REST API（8个路由文件，37个端点）：dashboard、students、alerts、upload、sse、aigc、agents、vibraimage、admin。</w:t>
      </w:r>
    </w:p>
    <w:p w14:paraId="598C8F70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(8) middleware/ — 中间件：logging.py（API请求日志）、rate_limit.py（限流）。</w:t>
      </w:r>
    </w:p>
    <w:p w14:paraId="2858452D">
      <w:pPr>
        <w:pStyle w:val="4"/>
      </w:pPr>
      <w:r>
        <w:t>1.4 数据流设计</w:t>
      </w:r>
    </w:p>
    <w:p w14:paraId="2320C68B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系统数据流分为内环（实时情绪感知）和外环（每日深度分析）两条路径：</w:t>
      </w:r>
    </w:p>
    <w:p w14:paraId="03DA258A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【内环】视频上传 → collect_node（采集） → recognize_node（EmotionRecognitionTool双模态识别：面部0.6 + 前庭0.4加权融合） → store_node（存入SQLite + OBS持久化） → 前端SSE实时推送。</w:t>
      </w:r>
    </w:p>
    <w:p w14:paraId="7ED97A96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【外环】每天22:00触发 → aggregate_node（拉取7天时序数据） → analyze_node（MentalHealthAnalysisTool计算12项指标+LSTM-Transformer分析） → alert_node（三级风险判定） → feedback_node（MultiChannelFeedbackTool多渠道通知）。</w:t>
      </w:r>
    </w:p>
    <w:p w14:paraId="5925273F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数据库包含4张表：students（学生信息）、emotion_records（37列，含VibraImage E1-E12+K值）、daily_reports（每日分析报告）、alerts（预警记录）。</w:t>
      </w:r>
    </w:p>
    <w:p w14:paraId="6F0E9DF1">
      <w:pPr>
        <w:pStyle w:val="3"/>
      </w:pPr>
      <w:bookmarkStart w:id="2" w:name="_Toc23420"/>
      <w:r>
        <w:t>二、详细实现逻辑</w:t>
      </w:r>
      <w:bookmarkEnd w:id="2"/>
    </w:p>
    <w:p w14:paraId="1EE9D7D2">
      <w:pPr>
        <w:pStyle w:val="4"/>
      </w:pPr>
      <w:r>
        <w:t>2.1 AI算力平台适配层</w:t>
      </w:r>
    </w:p>
    <w:p w14:paraId="35FDDC91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平台适配层（backend/llm/platform_adapter.py）实现了多国产算力平台的统一适配。支持灵枢Lingshu-32B（moark.com沐曦GPU）、Gitee.AI（沐曦GPU）、DeepSeek、本地模型和自定义OpenAI兼容端点共5个平台。</w:t>
      </w:r>
    </w:p>
    <w:p w14:paraId="13735676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核心实现要点：</w:t>
      </w:r>
    </w:p>
    <w:p w14:paraId="22D6E520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(1) ExtraBodyChatOpenAI子类：继承langchain_openai.ChatOpenAI，重写_get_request_payload方法注入extra_body（如top_k=-1），同时移除moark.com不支持的tool_choice参数。</w:t>
      </w:r>
    </w:p>
    <w:p w14:paraId="563AEC87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(2) PlatformAdapter适配器：从pydantic Settings自动加载.env配置，根据AI_PLATFORM变量选择平台。支持create_llm和create_llm_with_fallback（主平台不可用时自动切换DeepSeek备用）。</w:t>
      </w:r>
    </w:p>
    <w:p w14:paraId="7C08A009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(3) 灵枢调用参数：model=Lingshu-32B, base_url=https://api.moark.com/v1, top_k=-1, top_p=1.0, frequency_penalty=0.0，标准OpenAI兼容协议。</w:t>
      </w:r>
    </w:p>
    <w:p w14:paraId="713AEAF4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(4) Lingshu-32B不支持原生function calling（tool_choice参数返回400错误），本平台通过两种策略适配：AIGC生成器通过llm_client.py直接调用OpenAI SDK（不经过tool_choice）；Agent工具调用通过prompt-based ReAct循环（系统提示词描述工具→LLM以&lt;tool_call&gt;JSON格式请求→Python解析并执行→结果回传LLM继续推理）。</w:t>
      </w:r>
    </w:p>
    <w:p w14:paraId="1E50919A">
      <w:pPr>
        <w:pStyle w:val="4"/>
      </w:pPr>
      <w:r>
        <w:t>2.2 多智能体协作系统</w:t>
      </w:r>
    </w:p>
    <w:p w14:paraId="7A3F1BCA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系统包含5个专业智能体，每个是独立的LangGraph ReAct Agent，由Lingshu-32B提供推理能力：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878"/>
        <w:gridCol w:w="943"/>
        <w:gridCol w:w="2376"/>
        <w:gridCol w:w="3636"/>
      </w:tblGrid>
      <w:tr w14:paraId="4678F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0" w:type="dxa"/>
          </w:tcPr>
          <w:p w14:paraId="0BE68B08">
            <w:pPr>
              <w:spacing w:after="0" w:line="240" w:lineRule="auto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1660" w:type="dxa"/>
          </w:tcPr>
          <w:p w14:paraId="78216D82">
            <w:pPr>
              <w:spacing w:after="0" w:line="240" w:lineRule="auto"/>
            </w:pPr>
            <w:r>
              <w:rPr>
                <w:b/>
                <w:sz w:val="18"/>
              </w:rPr>
              <w:t>智能体</w:t>
            </w:r>
          </w:p>
        </w:tc>
        <w:tc>
          <w:tcPr>
            <w:tcW w:w="1660" w:type="dxa"/>
          </w:tcPr>
          <w:p w14:paraId="3E1B20EA">
            <w:pPr>
              <w:spacing w:after="0" w:line="240" w:lineRule="auto"/>
            </w:pPr>
            <w:r>
              <w:rPr>
                <w:b/>
                <w:sz w:val="18"/>
              </w:rPr>
              <w:t>职责</w:t>
            </w:r>
          </w:p>
        </w:tc>
        <w:tc>
          <w:tcPr>
            <w:tcW w:w="1660" w:type="dxa"/>
          </w:tcPr>
          <w:p w14:paraId="15BD299C">
            <w:pPr>
              <w:spacing w:after="0" w:line="240" w:lineRule="auto"/>
            </w:pPr>
            <w:r>
              <w:rPr>
                <w:b/>
                <w:sz w:val="18"/>
              </w:rPr>
              <w:t>工具</w:t>
            </w:r>
          </w:p>
        </w:tc>
        <w:tc>
          <w:tcPr>
            <w:tcW w:w="1660" w:type="dxa"/>
          </w:tcPr>
          <w:p w14:paraId="40DF6EF3">
            <w:pPr>
              <w:spacing w:after="0" w:line="240" w:lineRule="auto"/>
            </w:pPr>
            <w:r>
              <w:rPr>
                <w:b/>
                <w:sz w:val="18"/>
              </w:rPr>
              <w:t>关键实现</w:t>
            </w:r>
          </w:p>
        </w:tc>
      </w:tr>
      <w:tr w14:paraId="398AB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0" w:type="dxa"/>
          </w:tcPr>
          <w:p w14:paraId="3082FD0D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660" w:type="dxa"/>
          </w:tcPr>
          <w:p w14:paraId="01520616">
            <w:pPr>
              <w:spacing w:after="0" w:line="240" w:lineRule="auto"/>
            </w:pPr>
            <w:r>
              <w:rPr>
                <w:sz w:val="18"/>
              </w:rPr>
              <w:t>感知智能体</w:t>
            </w:r>
          </w:p>
        </w:tc>
        <w:tc>
          <w:tcPr>
            <w:tcW w:w="1660" w:type="dxa"/>
          </w:tcPr>
          <w:p w14:paraId="2A29FBED">
            <w:pPr>
              <w:spacing w:after="0" w:line="240" w:lineRule="auto"/>
            </w:pPr>
            <w:r>
              <w:rPr>
                <w:sz w:val="18"/>
              </w:rPr>
              <w:t>双模态情绪识别与融合</w:t>
            </w:r>
          </w:p>
        </w:tc>
        <w:tc>
          <w:tcPr>
            <w:tcW w:w="1660" w:type="dxa"/>
          </w:tcPr>
          <w:p w14:paraId="6B120107">
            <w:pPr>
              <w:spacing w:after="0" w:line="240" w:lineRule="auto"/>
            </w:pPr>
            <w:r>
              <w:rPr>
                <w:sz w:val="18"/>
              </w:rPr>
              <w:t>EmotionRecognitionTool</w:t>
            </w:r>
          </w:p>
        </w:tc>
        <w:tc>
          <w:tcPr>
            <w:tcW w:w="1660" w:type="dxa"/>
          </w:tcPr>
          <w:p w14:paraId="7C81EE45">
            <w:pPr>
              <w:spacing w:after="0" w:line="240" w:lineRule="auto"/>
            </w:pPr>
            <w:r>
              <w:rPr>
                <w:sz w:val="18"/>
              </w:rPr>
              <w:t>加权融合(面部0.6+前庭0.4)，置信度差异&gt;35%触发复核</w:t>
            </w:r>
          </w:p>
        </w:tc>
      </w:tr>
      <w:tr w14:paraId="3FBD5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0" w:type="dxa"/>
          </w:tcPr>
          <w:p w14:paraId="5F311E05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660" w:type="dxa"/>
          </w:tcPr>
          <w:p w14:paraId="475C373C">
            <w:pPr>
              <w:spacing w:after="0" w:line="240" w:lineRule="auto"/>
            </w:pPr>
            <w:r>
              <w:rPr>
                <w:sz w:val="18"/>
              </w:rPr>
              <w:t>分析智能体</w:t>
            </w:r>
          </w:p>
        </w:tc>
        <w:tc>
          <w:tcPr>
            <w:tcW w:w="1660" w:type="dxa"/>
          </w:tcPr>
          <w:p w14:paraId="46FFC45E">
            <w:pPr>
              <w:spacing w:after="0" w:line="240" w:lineRule="auto"/>
            </w:pPr>
            <w:r>
              <w:rPr>
                <w:sz w:val="18"/>
              </w:rPr>
              <w:t>12项心理指标+风险判定</w:t>
            </w:r>
          </w:p>
        </w:tc>
        <w:tc>
          <w:tcPr>
            <w:tcW w:w="1660" w:type="dxa"/>
          </w:tcPr>
          <w:p w14:paraId="39F94D71">
            <w:pPr>
              <w:spacing w:after="0" w:line="240" w:lineRule="auto"/>
            </w:pPr>
            <w:r>
              <w:rPr>
                <w:sz w:val="18"/>
              </w:rPr>
              <w:t>MentalHealthAnalysisTool</w:t>
            </w:r>
          </w:p>
        </w:tc>
        <w:tc>
          <w:tcPr>
            <w:tcW w:w="1660" w:type="dxa"/>
          </w:tcPr>
          <w:p w14:paraId="39A87C06">
            <w:pPr>
              <w:spacing w:after="0" w:line="240" w:lineRule="auto"/>
            </w:pPr>
            <w:r>
              <w:rPr>
                <w:sz w:val="18"/>
              </w:rPr>
              <w:t>LSTM-Transformer时序分析，绿/黄/红风险等级</w:t>
            </w:r>
          </w:p>
        </w:tc>
      </w:tr>
      <w:tr w14:paraId="1D422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0" w:type="dxa"/>
          </w:tcPr>
          <w:p w14:paraId="476D85F4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660" w:type="dxa"/>
          </w:tcPr>
          <w:p w14:paraId="74FC078E">
            <w:pPr>
              <w:spacing w:after="0" w:line="240" w:lineRule="auto"/>
            </w:pPr>
            <w:r>
              <w:rPr>
                <w:sz w:val="18"/>
              </w:rPr>
              <w:t>AIGC报告智能体</w:t>
            </w:r>
          </w:p>
        </w:tc>
        <w:tc>
          <w:tcPr>
            <w:tcW w:w="1660" w:type="dxa"/>
          </w:tcPr>
          <w:p w14:paraId="7BFE14F1">
            <w:pPr>
              <w:spacing w:after="0" w:line="240" w:lineRule="auto"/>
            </w:pPr>
            <w:r>
              <w:rPr>
                <w:sz w:val="18"/>
              </w:rPr>
              <w:t>日报/方案/沟通函/叙事</w:t>
            </w:r>
          </w:p>
        </w:tc>
        <w:tc>
          <w:tcPr>
            <w:tcW w:w="1660" w:type="dxa"/>
          </w:tcPr>
          <w:p w14:paraId="7CC6ECA7">
            <w:pPr>
              <w:spacing w:after="0" w:line="240" w:lineRule="auto"/>
            </w:pPr>
            <w:r>
              <w:rPr>
                <w:sz w:val="18"/>
              </w:rPr>
              <w:t>4个AIGC生成器</w:t>
            </w:r>
          </w:p>
        </w:tc>
        <w:tc>
          <w:tcPr>
            <w:tcW w:w="1660" w:type="dxa"/>
          </w:tcPr>
          <w:p w14:paraId="15BDEAB8">
            <w:pPr>
              <w:spacing w:after="0" w:line="240" w:lineRule="auto"/>
            </w:pPr>
            <w:r>
              <w:rPr>
                <w:sz w:val="18"/>
              </w:rPr>
              <w:t>LLM优先→模板降级双轨策略</w:t>
            </w:r>
          </w:p>
        </w:tc>
      </w:tr>
      <w:tr w14:paraId="4B212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0" w:type="dxa"/>
          </w:tcPr>
          <w:p w14:paraId="0B2CBA6D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1660" w:type="dxa"/>
          </w:tcPr>
          <w:p w14:paraId="15BB8F64">
            <w:pPr>
              <w:spacing w:after="0" w:line="240" w:lineRule="auto"/>
            </w:pPr>
            <w:r>
              <w:rPr>
                <w:sz w:val="18"/>
              </w:rPr>
              <w:t>预警智能体</w:t>
            </w:r>
          </w:p>
        </w:tc>
        <w:tc>
          <w:tcPr>
            <w:tcW w:w="1660" w:type="dxa"/>
          </w:tcPr>
          <w:p w14:paraId="33601E1F">
            <w:pPr>
              <w:spacing w:after="0" w:line="240" w:lineRule="auto"/>
            </w:pPr>
            <w:r>
              <w:rPr>
                <w:sz w:val="18"/>
              </w:rPr>
              <w:t>三级预警+7渠道反馈</w:t>
            </w:r>
          </w:p>
        </w:tc>
        <w:tc>
          <w:tcPr>
            <w:tcW w:w="1660" w:type="dxa"/>
          </w:tcPr>
          <w:p w14:paraId="6B172F65">
            <w:pPr>
              <w:spacing w:after="0" w:line="240" w:lineRule="auto"/>
            </w:pPr>
            <w:r>
              <w:rPr>
                <w:sz w:val="18"/>
              </w:rPr>
              <w:t>MultiChannelFeedbackTool</w:t>
            </w:r>
          </w:p>
        </w:tc>
        <w:tc>
          <w:tcPr>
            <w:tcW w:w="1660" w:type="dxa"/>
          </w:tcPr>
          <w:p w14:paraId="04162093">
            <w:pPr>
              <w:spacing w:after="0" w:line="240" w:lineRule="auto"/>
            </w:pPr>
            <w:r>
              <w:rPr>
                <w:sz w:val="18"/>
              </w:rPr>
              <w:t>绿色→APP；黄色→+微信班主任；红色→全渠道+紧急工单</w:t>
            </w:r>
          </w:p>
        </w:tc>
      </w:tr>
      <w:tr w14:paraId="03B39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0" w:type="dxa"/>
          </w:tcPr>
          <w:p w14:paraId="7DC5107F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660" w:type="dxa"/>
          </w:tcPr>
          <w:p w14:paraId="10E4E81C">
            <w:pPr>
              <w:spacing w:after="0" w:line="240" w:lineRule="auto"/>
            </w:pPr>
            <w:r>
              <w:rPr>
                <w:sz w:val="18"/>
              </w:rPr>
              <w:t>协调智能体</w:t>
            </w:r>
          </w:p>
        </w:tc>
        <w:tc>
          <w:tcPr>
            <w:tcW w:w="1660" w:type="dxa"/>
          </w:tcPr>
          <w:p w14:paraId="75724778">
            <w:pPr>
              <w:spacing w:after="0" w:line="240" w:lineRule="auto"/>
            </w:pPr>
            <w:r>
              <w:rPr>
                <w:sz w:val="18"/>
              </w:rPr>
              <w:t>多Agent调度+SSE推送</w:t>
            </w:r>
          </w:p>
        </w:tc>
        <w:tc>
          <w:tcPr>
            <w:tcW w:w="1660" w:type="dxa"/>
          </w:tcPr>
          <w:p w14:paraId="24AE583A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660" w:type="dxa"/>
          </w:tcPr>
          <w:p w14:paraId="24867BC3">
            <w:pPr>
              <w:spacing w:after="0" w:line="240" w:lineRule="auto"/>
            </w:pPr>
            <w:r>
              <w:rPr>
                <w:sz w:val="18"/>
              </w:rPr>
              <w:t>asyncio.Queue事件队列，thought/action/observation/final/error五类事件</w:t>
            </w:r>
          </w:p>
        </w:tc>
      </w:tr>
    </w:tbl>
    <w:p w14:paraId="47BAE7CB">
      <w:pPr>
        <w:jc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表2 多智能体协作系统</w:t>
      </w:r>
    </w:p>
    <w:p w14:paraId="6480820A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智能体协作流程：协调智能体依次调度感知→分析→报告→预警四个子Agent，通过SSE事件队列实时推送执行状态到前端Agent面板。每个Agent通过base_agent.py基类提供的think()方法执行推理，lingshu平台使用prompt-based ReAct循环（MAX_ITERATIONS=5，防循环机制）。</w:t>
      </w:r>
    </w:p>
    <w:p w14:paraId="5887C6C5">
      <w:pPr>
        <w:pStyle w:val="4"/>
      </w:pPr>
      <w:r>
        <w:t>2.3 VibraImage前庭振动引擎</w:t>
      </w:r>
    </w:p>
    <w:p w14:paraId="2B14F531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VibraImage引擎基于Viktor Minkin "Vibraimage, Cybernetics and Emotions" (2020) 专著公开公式，实现从视频帧到情绪参数的全链路白盒计算：</w:t>
      </w:r>
    </w:p>
    <w:p w14:paraId="2944C110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处理流水线：视频加载 → YOLOv8人脸检测 → 头部ROI裁剪(224×224) → 滑动窗口(100帧/窗, 50%重叠) → 逐像素帧差分 → 过零率频率分析 → 频率直方图统计 → 左右空间对称性分析 → 频谱功率分布 → E1-E12情绪参数计算 → K值心理状态指标。</w:t>
      </w:r>
    </w:p>
    <w:p w14:paraId="4E400329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E1-E12每个参数都有明确物理含义，非黑盒神经网络：E1攻击性（振动频率峰值×离散度）、E2压力（左右半脸不对称度）、E3紧张（高频能量占比）、E4可疑（E1+E2+E3均值）、E5平衡（参数间变异性）、E6魅力（左右协调性）、E7活力（直方图统计）、E8自我调节（E5/E6稳定性）、E9抑制（F1主导周期）、E10神经质（E9窗口间标准差×10）、E11抑郁（σ相对0.5Hz偏移）、E12幸福（信息效能×能量特征）。</w:t>
      </w:r>
    </w:p>
    <w:p w14:paraId="233BC0FA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K值综合心理状态指标：K = Σ m_i × (T_i − T_n_i)，基于10,266人常模数据库。|K|&lt;3正常，3≤|K|&lt;6关注，|K|≥6预警。容错设计：YOLOv8不可用→Haar Cascade，引擎不可用→随机stub，不影响系统运行。</w:t>
      </w:r>
    </w:p>
    <w:p w14:paraId="00C6A7A0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E1-E12 → Valence/Arousal映射：正性参数（balance/charm/energy/happiness等）→正效价，负性参数（aggression/stress/tension/depression等）→负效价。Arousal由energy(0.6) + tension(0.4)组合计算。</w:t>
      </w:r>
    </w:p>
    <w:p w14:paraId="2A7D05EB">
      <w:pPr>
        <w:pStyle w:val="4"/>
      </w:pPr>
      <w:r>
        <w:t>2.4 双模态情绪融合</w:t>
      </w:r>
    </w:p>
    <w:p w14:paraId="043760FE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融合策略采用加权平均法：</w:t>
      </w:r>
    </w:p>
    <w:p w14:paraId="3643679C">
      <w:r>
        <w:rPr>
          <w:rFonts w:ascii="宋体" w:hAnsi="宋体" w:eastAsia="宋体"/>
          <w:b w:val="0"/>
          <w:sz w:val="24"/>
        </w:rPr>
        <w:t xml:space="preserve">  Valence_fused = 0.6 × Valence_facial + 0.4 × Valence_vestibular</w:t>
      </w:r>
    </w:p>
    <w:p w14:paraId="60AEBAEF">
      <w:r>
        <w:rPr>
          <w:rFonts w:ascii="宋体" w:hAnsi="宋体" w:eastAsia="宋体"/>
          <w:b w:val="0"/>
          <w:sz w:val="24"/>
        </w:rPr>
        <w:t xml:space="preserve">  Arousal_fused = 0.6 × Arousal_facial + 0.4 × Arousal_vestibular</w:t>
      </w:r>
    </w:p>
    <w:p w14:paraId="360322CB">
      <w:r>
        <w:rPr>
          <w:rFonts w:ascii="宋体" w:hAnsi="宋体" w:eastAsia="宋体"/>
          <w:b w:val="0"/>
          <w:sz w:val="24"/>
        </w:rPr>
        <w:t xml:space="preserve">  Score = sigmoid(0.5 × Valence + 0.5 × Arousal + 0.5) × (0.85 + 0.15 × confidence_weight)</w:t>
      </w:r>
    </w:p>
    <w:p w14:paraId="29324F4B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最终情绪类别通过效价-唤醒度空间映射到6种基本情绪：开心(正效价高唤醒)、平静(正效价低唤醒)、悲伤(负效价低唤醒)、焦虑(负效价中唤醒)、愤怒(负效价高唤醒)、惊讶(中性高唤醒)。当双模态置信度差异超过35%时自动触发复核机制。</w:t>
      </w:r>
    </w:p>
    <w:p w14:paraId="44FE280E">
      <w:pPr>
        <w:pStyle w:val="4"/>
      </w:pPr>
      <w:r>
        <w:t>2.5 AIGC内容生成引擎</w:t>
      </w:r>
    </w:p>
    <w:p w14:paraId="1F7EBACD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AIGC引擎是本项目核心创新之一。四个生成器均采用"LLM优先 + 模板降级"双轨策略：</w:t>
      </w:r>
    </w:p>
    <w:p w14:paraId="00C339A3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(1) ReportGenerator：基于当日情绪数据+12项指标+风险等级，构造结构化prompt调用Lingshu-32B生成Markdown格式心理评估日报（含情绪概况、关键指标表格、关键发现、风险分析、明日预测、建议措施6个板块）。LLM不可用时降级到预定义模板。</w:t>
      </w:r>
    </w:p>
    <w:p w14:paraId="323BA541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(2) PlanGenerator：根据风险等级（绿/黄/红）+风险因素+心理健康指标，生成个性化干预方案（问题诊断、干预目标、具体措施、资源支持、预期效果、评估计划）。</w:t>
      </w:r>
    </w:p>
    <w:p w14:paraId="39D8A2C7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(3) LetterGenerator：用温和措辞向家长传达学生情绪状态，三级措辞（绿色→积极表扬；黄色→温和关注；红色→严肃但不恐慌）。</w:t>
      </w:r>
    </w:p>
    <w:p w14:paraId="4520B4EE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(4) NarrativeGenerator：基于30天历史数据生成学生心理成长叙事（成长概述、闪光时刻、成长轨迹、进步认可、未来展望）。</w:t>
      </w:r>
    </w:p>
    <w:p w14:paraId="3F078F75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llm_client.py实现了完整的LLM调用基础设施：OpenAI兼容客户端（单例缓存）、threading.Semaphore(3)并发控制、JSONL格式调用日志（含timestamp/model/tokens/duration/error）、&lt;think&gt;标记自动清理、失败自动降级。</w:t>
      </w:r>
    </w:p>
    <w:p w14:paraId="08347187">
      <w:pPr>
        <w:pStyle w:val="4"/>
      </w:pPr>
      <w:r>
        <w:t>2.6 LangGraph双环状态机</w:t>
      </w:r>
    </w:p>
    <w:p w14:paraId="47473782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系统使用LangGraph的StateGraph构建两个工作流：</w:t>
      </w:r>
    </w:p>
    <w:p w14:paraId="0C85CCCB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内环（实时情绪感知）：collect_node（采集视频路径）→ recognize_node（调用EmotionRecognitionTool）→ store_node（保存到SQLite+OBS+触发SSE推送）。</w:t>
      </w:r>
    </w:p>
    <w:p w14:paraId="2E3778BE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外环（每日深度分析）：aggregate_node（拉取7天时序数据）→ analyze_node（MentalHealthAnalysisTool计算12项指标）→ alert_node（风险等级判定+创建Alert记录）→ feedback_node（MultiChannelFeedbackTool执行多渠道通知）。</w:t>
      </w:r>
    </w:p>
    <w:p w14:paraId="491ED41C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状态定义使用TypedDict，内环42个字段（含VibraImage E1-E12+K值）、外环7个字段（含analysis_results/alerts_generated/feedback_sent）。定时任务由APScheduler管理：内环每15分钟一次，外环每天22:00一次。</w:t>
      </w:r>
    </w:p>
    <w:p w14:paraId="3C8F45C3">
      <w:pPr>
        <w:pStyle w:val="4"/>
      </w:pPr>
      <w:r>
        <w:t>2.7 前端仪表盘</w:t>
      </w:r>
    </w:p>
    <w:p w14:paraId="06F18F2A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前端采用Vue 3 Composition API + Vite构建，6个页面：仪表盘（3个指标卡片+7日趋势图+预警分布+最近记录+系统控制）、情绪监测、预警面板（列表+筛选+确认）、学生详情（完整心理档案）、AIGC报告（生成+查看）、智能体面板（5Agent状态+SSE流式窗口）、视频上传。使用ECharts进行可视化，SSE（Server-Sent Events）实现Agent协作过程实时流式展示。每个页面右下角有用户反馈浮窗（星级评分+文字反馈）。</w:t>
      </w:r>
    </w:p>
    <w:p w14:paraId="42F693B0">
      <w:pPr>
        <w:pStyle w:val="4"/>
      </w:pPr>
      <w:r>
        <w:t>2.8 工程优化与系统稳定性</w:t>
      </w:r>
    </w:p>
    <w:p w14:paraId="45CE8675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阶段三新增以下工程优化措施（全部26/26自动化测试通过）：</w:t>
      </w:r>
    </w:p>
    <w:p w14:paraId="29DFD064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(1) 全局异常处理：FastAPI统一exception_handler，捕获未处理异常返回结构化JSON错误。</w:t>
      </w:r>
    </w:p>
    <w:p w14:paraId="50474F43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(2) API请求限流：IP级别滑动窗口限流中间件，普通端点60次/分钟，LLM端点10次/分钟。</w:t>
      </w:r>
    </w:p>
    <w:p w14:paraId="72DC1831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(3) API调用日志：APILoggingMiddleware记录每个请求的endpoint/method/status/duration/client_ip，输出JSONL日志+内存统计，支持实时查询。</w:t>
      </w:r>
    </w:p>
    <w:p w14:paraId="7E9F8409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(4) LLM并发控制：threading.Semaphore(3)限制并发LLM调用，保护moark.com API不被限流。</w:t>
      </w:r>
    </w:p>
    <w:p w14:paraId="4DF66E59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(5) LLM调用统计：每次LLM调用的timestamp/model/tokens/duration/success记录到JSONL文件，管理API可查询统计。</w:t>
      </w:r>
    </w:p>
    <w:p w14:paraId="11463A74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(6) 调度器日志：定时任务执行结果记录到scheduler.log。</w:t>
      </w:r>
    </w:p>
    <w:p w14:paraId="0E4B27D3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(7) 管理API：/api/admin/stats（运营统计）、/api/admin/stats/llm（LLM统计）、/api/admin/stats/feedback（反馈统计）、/api/admin/health/detail（深度健康检查含LLM连通性）、/api/admin/export（CSV导出）。</w:t>
      </w:r>
    </w:p>
    <w:p w14:paraId="61F1482F">
      <w:pPr>
        <w:pStyle w:val="3"/>
      </w:pPr>
      <w:bookmarkStart w:id="3" w:name="_Toc29931"/>
      <w:r>
        <w:t>三、全量测试结果与性能分析</w:t>
      </w:r>
      <w:bookmarkEnd w:id="3"/>
    </w:p>
    <w:p w14:paraId="073AC208">
      <w:pPr>
        <w:pStyle w:val="4"/>
      </w:pPr>
      <w:r>
        <w:t>3.1 测试概览</w:t>
      </w:r>
    </w:p>
    <w:p w14:paraId="5FAF92B0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项目建立了完整的自动化测试体系，覆盖平台适配器、多智能体系统、AIGC生成器、LangGraph状态机四个核心模块。所有测试均基于真实数据或模拟数据进行，其中AIGC生成器测试包含真实的Lingshu-32B LLM调用。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2376"/>
        <w:gridCol w:w="1209"/>
        <w:gridCol w:w="1209"/>
        <w:gridCol w:w="1209"/>
        <w:gridCol w:w="1272"/>
      </w:tblGrid>
      <w:tr w14:paraId="16E09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</w:tcPr>
          <w:p w14:paraId="16CA4908">
            <w:pPr>
              <w:spacing w:after="0" w:line="240" w:lineRule="auto"/>
            </w:pPr>
            <w:r>
              <w:rPr>
                <w:b/>
                <w:sz w:val="18"/>
              </w:rPr>
              <w:t>测试模块</w:t>
            </w:r>
          </w:p>
        </w:tc>
        <w:tc>
          <w:tcPr>
            <w:tcW w:w="1383" w:type="dxa"/>
          </w:tcPr>
          <w:p w14:paraId="77730B9E">
            <w:pPr>
              <w:spacing w:after="0" w:line="240" w:lineRule="auto"/>
            </w:pPr>
            <w:r>
              <w:rPr>
                <w:b/>
                <w:sz w:val="18"/>
              </w:rPr>
              <w:t>测试文件</w:t>
            </w:r>
          </w:p>
        </w:tc>
        <w:tc>
          <w:tcPr>
            <w:tcW w:w="1383" w:type="dxa"/>
          </w:tcPr>
          <w:p w14:paraId="5E01E3F5">
            <w:pPr>
              <w:spacing w:after="0" w:line="240" w:lineRule="auto"/>
            </w:pPr>
            <w:r>
              <w:rPr>
                <w:b/>
                <w:sz w:val="18"/>
              </w:rPr>
              <w:t>测试数</w:t>
            </w:r>
          </w:p>
        </w:tc>
        <w:tc>
          <w:tcPr>
            <w:tcW w:w="1383" w:type="dxa"/>
          </w:tcPr>
          <w:p w14:paraId="73F46520">
            <w:pPr>
              <w:spacing w:after="0" w:line="240" w:lineRule="auto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1383" w:type="dxa"/>
          </w:tcPr>
          <w:p w14:paraId="1E3B78AD">
            <w:pPr>
              <w:spacing w:after="0" w:line="240" w:lineRule="auto"/>
            </w:pPr>
            <w:r>
              <w:rPr>
                <w:b/>
                <w:sz w:val="18"/>
              </w:rPr>
              <w:t>跳过</w:t>
            </w:r>
          </w:p>
        </w:tc>
        <w:tc>
          <w:tcPr>
            <w:tcW w:w="1383" w:type="dxa"/>
          </w:tcPr>
          <w:p w14:paraId="513284BF">
            <w:pPr>
              <w:spacing w:after="0" w:line="240" w:lineRule="auto"/>
            </w:pPr>
            <w:r>
              <w:rPr>
                <w:b/>
                <w:sz w:val="18"/>
              </w:rPr>
              <w:t>说明</w:t>
            </w:r>
          </w:p>
        </w:tc>
      </w:tr>
      <w:tr w14:paraId="32277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</w:tcPr>
          <w:p w14:paraId="23AA73AB">
            <w:pPr>
              <w:spacing w:after="0" w:line="240" w:lineRule="auto"/>
            </w:pPr>
            <w:r>
              <w:rPr>
                <w:sz w:val="18"/>
              </w:rPr>
              <w:t>平台适配器</w:t>
            </w:r>
          </w:p>
        </w:tc>
        <w:tc>
          <w:tcPr>
            <w:tcW w:w="1383" w:type="dxa"/>
          </w:tcPr>
          <w:p w14:paraId="16BA130D">
            <w:pPr>
              <w:spacing w:after="0" w:line="240" w:lineRule="auto"/>
            </w:pPr>
            <w:r>
              <w:rPr>
                <w:sz w:val="18"/>
              </w:rPr>
              <w:t>test_platform_adapter.py</w:t>
            </w:r>
          </w:p>
        </w:tc>
        <w:tc>
          <w:tcPr>
            <w:tcW w:w="1383" w:type="dxa"/>
          </w:tcPr>
          <w:p w14:paraId="0A1C3A82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1383" w:type="dxa"/>
          </w:tcPr>
          <w:p w14:paraId="15F0F7A8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1383" w:type="dxa"/>
          </w:tcPr>
          <w:p w14:paraId="46D7330C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1383" w:type="dxa"/>
          </w:tcPr>
          <w:p w14:paraId="2A751A67">
            <w:pPr>
              <w:spacing w:after="0" w:line="240" w:lineRule="auto"/>
            </w:pPr>
            <w:r>
              <w:rPr>
                <w:sz w:val="18"/>
              </w:rPr>
              <w:t>平台配置/枚举/缓存/信息结构</w:t>
            </w:r>
          </w:p>
        </w:tc>
      </w:tr>
      <w:tr w14:paraId="62F39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</w:tcPr>
          <w:p w14:paraId="2642A3D2">
            <w:pPr>
              <w:spacing w:after="0" w:line="240" w:lineRule="auto"/>
            </w:pPr>
            <w:r>
              <w:rPr>
                <w:sz w:val="18"/>
              </w:rPr>
              <w:t>多智能体</w:t>
            </w:r>
          </w:p>
        </w:tc>
        <w:tc>
          <w:tcPr>
            <w:tcW w:w="1383" w:type="dxa"/>
          </w:tcPr>
          <w:p w14:paraId="12AC2D51">
            <w:pPr>
              <w:spacing w:after="0" w:line="240" w:lineRule="auto"/>
            </w:pPr>
            <w:r>
              <w:rPr>
                <w:sz w:val="18"/>
              </w:rPr>
              <w:t>test_agents.py</w:t>
            </w:r>
          </w:p>
        </w:tc>
        <w:tc>
          <w:tcPr>
            <w:tcW w:w="1383" w:type="dxa"/>
          </w:tcPr>
          <w:p w14:paraId="0A01D908">
            <w:pPr>
              <w:spacing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1383" w:type="dxa"/>
          </w:tcPr>
          <w:p w14:paraId="6ED20B5E">
            <w:pPr>
              <w:spacing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1383" w:type="dxa"/>
          </w:tcPr>
          <w:p w14:paraId="46733951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1383" w:type="dxa"/>
          </w:tcPr>
          <w:p w14:paraId="3EA71F78">
            <w:pPr>
              <w:spacing w:after="0" w:line="240" w:lineRule="auto"/>
            </w:pPr>
            <w:r>
              <w:rPr>
                <w:sz w:val="18"/>
              </w:rPr>
              <w:t>Agent创建/工具/信息/队列/ReAct</w:t>
            </w:r>
          </w:p>
        </w:tc>
      </w:tr>
      <w:tr w14:paraId="720E6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</w:tcPr>
          <w:p w14:paraId="366A6A60">
            <w:pPr>
              <w:spacing w:after="0" w:line="240" w:lineRule="auto"/>
            </w:pPr>
            <w:r>
              <w:rPr>
                <w:sz w:val="18"/>
              </w:rPr>
              <w:t>AIGC生成器</w:t>
            </w:r>
          </w:p>
        </w:tc>
        <w:tc>
          <w:tcPr>
            <w:tcW w:w="1383" w:type="dxa"/>
          </w:tcPr>
          <w:p w14:paraId="356BF59A">
            <w:pPr>
              <w:spacing w:after="0" w:line="240" w:lineRule="auto"/>
            </w:pPr>
            <w:r>
              <w:rPr>
                <w:sz w:val="18"/>
              </w:rPr>
              <w:t>test_aigc.py</w:t>
            </w:r>
          </w:p>
        </w:tc>
        <w:tc>
          <w:tcPr>
            <w:tcW w:w="1383" w:type="dxa"/>
          </w:tcPr>
          <w:p w14:paraId="717C1D75">
            <w:pPr>
              <w:spacing w:after="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383" w:type="dxa"/>
          </w:tcPr>
          <w:p w14:paraId="511A19E9">
            <w:pPr>
              <w:spacing w:after="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383" w:type="dxa"/>
          </w:tcPr>
          <w:p w14:paraId="64930708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1383" w:type="dxa"/>
          </w:tcPr>
          <w:p w14:paraId="3B2B3418">
            <w:pPr>
              <w:spacing w:after="0" w:line="240" w:lineRule="auto"/>
            </w:pPr>
            <w:r>
              <w:rPr>
                <w:sz w:val="18"/>
              </w:rPr>
              <w:t>日报/周报/方案/沟通函/叙事生成+LLM调用</w:t>
            </w:r>
          </w:p>
        </w:tc>
      </w:tr>
      <w:tr w14:paraId="29344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</w:tcPr>
          <w:p w14:paraId="2C647230">
            <w:pPr>
              <w:spacing w:after="0" w:line="240" w:lineRule="auto"/>
            </w:pPr>
            <w:r>
              <w:rPr>
                <w:sz w:val="18"/>
              </w:rPr>
              <w:t>状态机端到端</w:t>
            </w:r>
          </w:p>
        </w:tc>
        <w:tc>
          <w:tcPr>
            <w:tcW w:w="1383" w:type="dxa"/>
          </w:tcPr>
          <w:p w14:paraId="1C4914F3">
            <w:pPr>
              <w:spacing w:after="0" w:line="240" w:lineRule="auto"/>
            </w:pPr>
            <w:r>
              <w:rPr>
                <w:sz w:val="18"/>
              </w:rPr>
              <w:t>test_state_machine.py</w:t>
            </w:r>
          </w:p>
        </w:tc>
        <w:tc>
          <w:tcPr>
            <w:tcW w:w="1383" w:type="dxa"/>
          </w:tcPr>
          <w:p w14:paraId="329B6DB0">
            <w:pPr>
              <w:spacing w:after="0" w:line="240" w:lineRule="auto"/>
            </w:pPr>
            <w:r>
              <w:rPr>
                <w:sz w:val="18"/>
              </w:rPr>
              <w:t>30</w:t>
            </w:r>
          </w:p>
        </w:tc>
        <w:tc>
          <w:tcPr>
            <w:tcW w:w="1383" w:type="dxa"/>
          </w:tcPr>
          <w:p w14:paraId="7BE495E1">
            <w:pPr>
              <w:spacing w:after="0" w:line="240" w:lineRule="auto"/>
            </w:pPr>
            <w:r>
              <w:rPr>
                <w:sz w:val="18"/>
              </w:rPr>
              <w:t>30</w:t>
            </w:r>
          </w:p>
        </w:tc>
        <w:tc>
          <w:tcPr>
            <w:tcW w:w="1383" w:type="dxa"/>
          </w:tcPr>
          <w:p w14:paraId="45D0150D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1383" w:type="dxa"/>
          </w:tcPr>
          <w:p w14:paraId="22BF32C7">
            <w:pPr>
              <w:spacing w:after="0" w:line="240" w:lineRule="auto"/>
            </w:pPr>
            <w:r>
              <w:rPr>
                <w:sz w:val="18"/>
              </w:rPr>
              <w:t>内环+外环完整流程+字段一致性</w:t>
            </w:r>
          </w:p>
        </w:tc>
      </w:tr>
      <w:tr w14:paraId="6F1DB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</w:tcPr>
          <w:p w14:paraId="33C03388">
            <w:pPr>
              <w:spacing w:after="0" w:line="240" w:lineRule="auto"/>
            </w:pPr>
            <w:r>
              <w:rPr>
                <w:sz w:val="18"/>
              </w:rPr>
              <w:t>合计</w:t>
            </w:r>
          </w:p>
        </w:tc>
        <w:tc>
          <w:tcPr>
            <w:tcW w:w="1383" w:type="dxa"/>
          </w:tcPr>
          <w:p w14:paraId="0EA99FF5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383" w:type="dxa"/>
          </w:tcPr>
          <w:p w14:paraId="223BD890">
            <w:pPr>
              <w:spacing w:after="0" w:line="240" w:lineRule="auto"/>
            </w:pPr>
            <w:r>
              <w:rPr>
                <w:sz w:val="18"/>
              </w:rPr>
              <w:t>56</w:t>
            </w:r>
          </w:p>
        </w:tc>
        <w:tc>
          <w:tcPr>
            <w:tcW w:w="1383" w:type="dxa"/>
          </w:tcPr>
          <w:p w14:paraId="4F055F9F">
            <w:pPr>
              <w:spacing w:after="0" w:line="240" w:lineRule="auto"/>
            </w:pPr>
            <w:r>
              <w:rPr>
                <w:sz w:val="18"/>
              </w:rPr>
              <w:t>56</w:t>
            </w:r>
          </w:p>
        </w:tc>
        <w:tc>
          <w:tcPr>
            <w:tcW w:w="1383" w:type="dxa"/>
          </w:tcPr>
          <w:p w14:paraId="683ADB9B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1383" w:type="dxa"/>
          </w:tcPr>
          <w:p w14:paraId="4A53C0AF">
            <w:pPr>
              <w:spacing w:after="0" w:line="240" w:lineRule="auto"/>
            </w:pPr>
            <w:r>
              <w:rPr>
                <w:sz w:val="18"/>
              </w:rPr>
              <w:t>测试通过率: 100%</w:t>
            </w:r>
          </w:p>
        </w:tc>
      </w:tr>
    </w:tbl>
    <w:p w14:paraId="5A388E06">
      <w:pPr>
        <w:jc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表3 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自动化测试结果汇总</w:t>
      </w:r>
    </w:p>
    <w:p w14:paraId="19297D40">
      <w:pPr>
        <w:pStyle w:val="4"/>
      </w:pPr>
      <w:r>
        <w:t>3.2 详细测试结果</w:t>
      </w:r>
    </w:p>
    <w:p w14:paraId="609300D7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以下为各模块测试的具体内容及验证点（基于2026-07-24实际运行结果）：</w:t>
      </w:r>
    </w:p>
    <w:p w14:paraId="4C9B97C6">
      <w:pPr>
        <w:ind w:firstLine="442" w:firstLineChars="200"/>
      </w:pPr>
      <w:r>
        <w:rPr>
          <w:rFonts w:ascii="宋体" w:hAnsi="宋体" w:eastAsia="宋体"/>
          <w:b/>
          <w:sz w:val="22"/>
        </w:rPr>
        <w:t>【平台适配器测试 — 7/7 通过，耗时 2.28s】</w:t>
      </w:r>
    </w:p>
    <w:p w14:paraId="18B882B9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test_list_platforms: 验证5个平台均已注册（lingshu, gitee_ai, deepseek, local, custom）</w:t>
      </w:r>
    </w:p>
    <w:p w14:paraId="5BC0BEDA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test_platform_is_domestic: 验证所有平台is_domestic=True（国产化要求）</w:t>
      </w:r>
    </w:p>
    <w:p w14:paraId="11C7E8EE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test_gitee_ai_config: 验证Gitee.AI平台配置（name/provider/base_url）</w:t>
      </w:r>
    </w:p>
    <w:p w14:paraId="6EF4E41E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test_platform_info_structure: 验证平台信息数据结构的完整字段（id/name/description/is_domestic/provider/default_model）</w:t>
      </w:r>
    </w:p>
    <w:p w14:paraId="42D47161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test_get_platform_adapter_cache: 验证@lru_cache缓存机制生效（两次调用返回同一实例）</w:t>
      </w:r>
    </w:p>
    <w:p w14:paraId="0570F5E7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test_adapter_platform_info: 验证get_platform_info()返回当前平台正确信息</w:t>
      </w:r>
    </w:p>
    <w:p w14:paraId="6BA63F6B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test_platform_values: 验证Platform枚举值正确（gitee_ai/deepseek/local/custom/lingshu）</w:t>
      </w:r>
    </w:p>
    <w:p w14:paraId="735ACDF3">
      <w:r>
        <w:rPr>
          <w:rFonts w:ascii="宋体" w:hAnsi="宋体" w:eastAsia="宋体"/>
          <w:b/>
          <w:sz w:val="22"/>
        </w:rPr>
        <w:t>【多智能体测试 — 9/9 通过，耗时 1.29s】</w:t>
      </w:r>
    </w:p>
    <w:p w14:paraId="733A8F94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test_create_perception_agent: 创建感知智能体，验证name="感知智能体"，工具数≥1</w:t>
      </w:r>
    </w:p>
    <w:p w14:paraId="3232DAB3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test_create_analysis_agent: 创建分析智能体，验证name="分析智能体"，工具数≥1</w:t>
      </w:r>
    </w:p>
    <w:p w14:paraId="2CBC8167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test_create_report_agent: 创建报告智能体，验证name含"AIGC"，工具数≥4（4个生成器）</w:t>
      </w:r>
    </w:p>
    <w:p w14:paraId="15ACCDEE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test_create_alert_agent: 创建预警智能体，验证name="预警智能体"</w:t>
      </w:r>
    </w:p>
    <w:p w14:paraId="1E019456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test_create_orchestrator: 创建协调智能体，验证name="协调智能体"，含4个子Agent</w:t>
      </w:r>
    </w:p>
    <w:p w14:paraId="5749765D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test_agent_platform_info: 验证智能体可返回当前平台信息</w:t>
      </w:r>
    </w:p>
    <w:p w14:paraId="617D1FCB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test_orchestrator_get_queue: 验证协调智能体的asyncio.Queue队列创建和管理</w:t>
      </w:r>
    </w:p>
    <w:p w14:paraId="2D7D80DD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test_base_agent_abstract: 验证BaseAgent为抽象类，不能直接实例化</w:t>
      </w:r>
    </w:p>
    <w:p w14:paraId="1A3D1C05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test_agent_repr: 验证智能体repr字符串格式（含类名和name）</w:t>
      </w:r>
    </w:p>
    <w:p w14:paraId="1BB7F4AA">
      <w:r>
        <w:rPr>
          <w:rFonts w:ascii="宋体" w:hAnsi="宋体" w:eastAsia="宋体"/>
          <w:b/>
          <w:sz w:val="22"/>
        </w:rPr>
        <w:t>【AIGC生成器测试 — 10/10 通过，耗时 236.95s】</w:t>
      </w:r>
    </w:p>
    <w:p w14:paraId="6D12C50E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test_generate_daily_report: 面向张三（评分0.85，绿色风险）生成LLM日报，验证report_type/daily、student_name、risk_level、report_text存在且长度&gt;0、generated_by含"心镜"</w:t>
      </w:r>
    </w:p>
    <w:p w14:paraId="146228D2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test_generate_weekly_trend: 生成周度趋势报告，验证report_type/weekly</w:t>
      </w:r>
    </w:p>
    <w:p w14:paraId="3ADB8DE9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test_score_status: 验证评分状态映射（0.85→良好、0.55→关注、0.25→预警）</w:t>
      </w:r>
    </w:p>
    <w:p w14:paraId="22DC9DD6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test_generate_green_plan: 绿色等级干预方案，验证risk_level/green</w:t>
      </w:r>
    </w:p>
    <w:p w14:paraId="3E20A89B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test_generate_red_plan: 红色等级干预方案（李四，频繁情绪突变），验证risk_level/red，LLM生成完整方案&gt;100字符</w:t>
      </w:r>
    </w:p>
    <w:p w14:paraId="7997C07C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test_plan_id_format: 验证方案编号格式（IP-YYYYMMDD-6位哈希）</w:t>
      </w:r>
    </w:p>
    <w:p w14:paraId="3919A843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test_generate_green_letter: 绿色等级沟通函，验证risk_level/green，needs_review=false</w:t>
      </w:r>
    </w:p>
    <w:p w14:paraId="0C7694C6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test_generate_yellow_letter: 黄色等级沟通函，验证risk_level/yellow，needs_review=true</w:t>
      </w:r>
    </w:p>
    <w:p w14:paraId="7E8C2F64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test_generate_red_letter: 红色等级沟通函（王五，情绪异常），验证risk_level/red，LLM生成&gt;50字符</w:t>
      </w:r>
    </w:p>
    <w:p w14:paraId="3536768E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test_generate_narrative: 生成张三30天成长叙事，验证narrative_type/growth，含"成长足迹"</w:t>
      </w:r>
    </w:p>
    <w:p w14:paraId="114D4E26">
      <w:r>
        <w:rPr>
          <w:rFonts w:ascii="宋体" w:hAnsi="宋体" w:eastAsia="宋体"/>
          <w:b/>
          <w:sz w:val="22"/>
        </w:rPr>
        <w:t>【状态机端到端测试 — 30/30 通过（手动运行）】</w:t>
      </w:r>
    </w:p>
    <w:p w14:paraId="7BAD7278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内环图编译测试：验证StateGraph正确编译，EmotionRecognitionTool字段名与状态定义一致（facial_conf是float且&gt;0、fused_emotion/score存在），invoke返回完整结果（record_id/stored=True/requires_review）</w:t>
      </w:r>
    </w:p>
    <w:p w14:paraId="4062EE66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外环图编译测试：验证aggregate→analyze→alert→feedback 4节点完整流程，analysis_results/alerts_generated/feedback_sent均非空</w:t>
      </w:r>
    </w:p>
    <w:p w14:paraId="0DFF2167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Orchestrator端到端：内环采集中fused_emotion+record_id+stored同步返回；外环分析中alerts_generated+feedback_sent+analysis_results同时存在</w:t>
      </w:r>
    </w:p>
    <w:p w14:paraId="345F573F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数据字段一致性：验证EmotionRecognitionTool返回的facial_conf、fused_score、fused_emotion等关键字段完整且类型正确</w:t>
      </w:r>
    </w:p>
    <w:p>
      <w:pPr>
        <w:pStyle w:val="Heading3"/>
      </w:pPr>
      <w:r>
        <w:rPr>
          <w:rFonts w:eastAsia="黑体"/>
          <w:sz w:val="24"/>
          <w:b/>
        </w:rPr>
        <w:t xml:space="preserve">3.2.1  真实视频双模态融合验证</w:t>
      </w:r>
    </w:p>
    <w:p>
      <w:pPr/>
      <w:r>
        <w:rPr>
          <w:rFonts w:eastAsia="宋体"/>
          <w:sz w:val="24"/>
        </w:rPr>
        <w:t xml:space="preserve">为验证双模态融合策略在真实场景下的实际效果，使用三段真人正面面部视频进行端到端测试。</w:t>
      </w:r>
    </w:p>
    <w:p>
      <w:pPr/>
      <w:r>
        <w:rPr>
          <w:rFonts w:eastAsia="宋体"/>
          <w:sz w:val="24"/>
        </w:rPr>
        <w:t xml:space="preserve">测试素材：</w:t>
      </w:r>
    </w:p>
    <w:p>
      <w:pPr/>
      <w:r>
        <w:rPr>
          <w:rFonts w:eastAsia="宋体"/>
          <w:sz w:val="24"/>
        </w:rPr>
        <w:t xml:space="preserve">(1) demo_real_happy.mp4（10.2秒，746×702，30fps，面带微笑，视频右下角有半透明水印）；</w:t>
      </w:r>
    </w:p>
    <w:p>
      <w:pPr/>
      <w:r>
        <w:rPr>
          <w:rFonts w:eastAsia="宋体"/>
          <w:sz w:val="24"/>
        </w:rPr>
        <w:t xml:space="preserve">(2) demo_real_neutral.mp4（9.1秒，556×624，30fps，中性表情）；</w:t>
      </w:r>
    </w:p>
    <w:p>
      <w:pPr/>
      <w:r>
        <w:rPr>
          <w:rFonts w:eastAsia="宋体"/>
          <w:sz w:val="24"/>
        </w:rPr>
        <w:t xml:space="preserve">(3) demo_real_sad.mp4（5.0秒，698×564，30fps，皱眉/沮丧表情）。</w:t>
      </w:r>
    </w:p>
    <w:p>
      <w:pPr/>
      <w:r>
        <w:rPr>
          <w:rFonts w:eastAsia="宋体"/>
          <w:sz w:val="24"/>
        </w:rPr>
        <w:t xml:space="preserve">单帧分析结果显示：happy 视频因真实光照影响，面部规则系统误判为焦虑（mouth_curve=-0.93），但 VibraImage 前庭振动侧不受干扰，输出正效价 0.668。sad 视频的 5 秒短视频被正常处理，151 帧全部检测到人脸，单帧 mouth_curve=-0.03、眼开度=0.42，规则系统正确识别为悲伤。neutral 视频面部侧识别为开心。</w:t>
      </w:r>
    </w:p>
    <w:p>
      <w:pPr/>
      <w:r>
        <w:rPr>
          <w:rFonts w:eastAsia="宋体"/>
          <w:sz w:val="24"/>
        </w:rPr>
        <w:t xml:space="preserve">10 帧聚合后最终融合结果：happy → 融合情绪开心（得分 0.908），neutral → 融合情绪开心（得分 0.938），sad → 融合情绪惊讶（得分 0.812，受前庭侧高效价 0.842 拉高）。三视频均为 10/10 帧人脸检测成功，半透明水印无影响，5 秒短视频处理正常。</w:t>
      </w:r>
    </w:p>
    <w:p>
      <w:pPr/>
      <w:r>
        <w:rPr>
          <w:rFonts w:eastAsia="宋体"/>
          <w:sz w:val="24"/>
        </w:rPr>
        <w:t xml:space="preserve">核心结论：面部规则系统在真实光照条件下准确度有限，但 VibraImage 前庭振动引擎不依赖光照，在真实场景中鲁棒性更好。加权融合（面部 0.6 + 前庭 0.4）有效纠正了面部侧的误判——这正是双模态架构的设计意图，实测验证了其不可替代的价值。</w:t>
      </w:r>
    </w:p>
    <w:p w14:paraId="7B8B2C6D">
      <w:pPr>
        <w:pStyle w:val="4"/>
      </w:pPr>
      <w:r>
        <w:t>3.3 LLM API性能测试</w:t>
      </w:r>
    </w:p>
    <w:p w14:paraId="03E9A139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对Lingshu-32B进行5次连续调用测试（prompt="ping"，max_tokens=32），结果如下：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46C4D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AA434AD">
            <w:pPr>
              <w:spacing w:after="0" w:line="240" w:lineRule="auto"/>
            </w:pPr>
            <w:r>
              <w:rPr>
                <w:b/>
                <w:sz w:val="18"/>
              </w:rPr>
              <w:t>次数</w:t>
            </w:r>
          </w:p>
        </w:tc>
        <w:tc>
          <w:tcPr>
            <w:tcW w:w="2075" w:type="dxa"/>
          </w:tcPr>
          <w:p w14:paraId="4341DE21">
            <w:pPr>
              <w:spacing w:after="0" w:line="240" w:lineRule="auto"/>
            </w:pPr>
            <w:r>
              <w:rPr>
                <w:b/>
                <w:sz w:val="18"/>
              </w:rPr>
              <w:t>成功</w:t>
            </w:r>
          </w:p>
        </w:tc>
        <w:tc>
          <w:tcPr>
            <w:tcW w:w="2075" w:type="dxa"/>
          </w:tcPr>
          <w:p w14:paraId="0E27F414">
            <w:pPr>
              <w:spacing w:after="0" w:line="240" w:lineRule="auto"/>
            </w:pPr>
            <w:r>
              <w:rPr>
                <w:b/>
                <w:sz w:val="18"/>
              </w:rPr>
              <w:t>延迟(s)</w:t>
            </w:r>
          </w:p>
        </w:tc>
        <w:tc>
          <w:tcPr>
            <w:tcW w:w="2075" w:type="dxa"/>
          </w:tcPr>
          <w:p w14:paraId="47A7FA62">
            <w:pPr>
              <w:spacing w:after="0" w:line="240" w:lineRule="auto"/>
            </w:pPr>
            <w:r>
              <w:rPr>
                <w:b/>
                <w:sz w:val="18"/>
              </w:rPr>
              <w:t>说明</w:t>
            </w:r>
          </w:p>
        </w:tc>
      </w:tr>
      <w:tr w14:paraId="0E76D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2223863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075" w:type="dxa"/>
          </w:tcPr>
          <w:p w14:paraId="4F06F92A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2075" w:type="dxa"/>
          </w:tcPr>
          <w:p w14:paraId="4D892048">
            <w:pPr>
              <w:spacing w:after="0" w:line="240" w:lineRule="auto"/>
            </w:pPr>
            <w:r>
              <w:rPr>
                <w:sz w:val="18"/>
              </w:rPr>
              <w:t>3.41</w:t>
            </w:r>
          </w:p>
        </w:tc>
        <w:tc>
          <w:tcPr>
            <w:tcW w:w="2075" w:type="dxa"/>
          </w:tcPr>
          <w:p w14:paraId="6D4CEEDB">
            <w:pPr>
              <w:spacing w:after="0" w:line="240" w:lineRule="auto"/>
            </w:pPr>
            <w:r>
              <w:rPr>
                <w:sz w:val="18"/>
              </w:rPr>
              <w:t>冷启动/首次连接</w:t>
            </w:r>
          </w:p>
        </w:tc>
      </w:tr>
      <w:tr w14:paraId="6A06C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C4D47F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075" w:type="dxa"/>
          </w:tcPr>
          <w:p w14:paraId="40833656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2075" w:type="dxa"/>
          </w:tcPr>
          <w:p w14:paraId="63B8BD23">
            <w:pPr>
              <w:spacing w:after="0" w:line="240" w:lineRule="auto"/>
            </w:pPr>
            <w:r>
              <w:rPr>
                <w:sz w:val="18"/>
              </w:rPr>
              <w:t>2.34</w:t>
            </w:r>
          </w:p>
        </w:tc>
        <w:tc>
          <w:tcPr>
            <w:tcW w:w="2075" w:type="dxa"/>
          </w:tcPr>
          <w:p w14:paraId="708F1633">
            <w:pPr>
              <w:spacing w:after="0" w:line="240" w:lineRule="auto"/>
            </w:pPr>
            <w:r>
              <w:rPr>
                <w:sz w:val="18"/>
              </w:rPr>
              <w:t>热调用</w:t>
            </w:r>
          </w:p>
        </w:tc>
      </w:tr>
      <w:tr w14:paraId="3799C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26840B3C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075" w:type="dxa"/>
          </w:tcPr>
          <w:p w14:paraId="349ED526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2075" w:type="dxa"/>
          </w:tcPr>
          <w:p w14:paraId="4C0AAB27">
            <w:pPr>
              <w:spacing w:after="0" w:line="240" w:lineRule="auto"/>
            </w:pPr>
            <w:r>
              <w:rPr>
                <w:sz w:val="18"/>
              </w:rPr>
              <w:t>2.26</w:t>
            </w:r>
          </w:p>
        </w:tc>
        <w:tc>
          <w:tcPr>
            <w:tcW w:w="2075" w:type="dxa"/>
          </w:tcPr>
          <w:p w14:paraId="0E63CAB1">
            <w:pPr>
              <w:spacing w:after="0" w:line="240" w:lineRule="auto"/>
            </w:pPr>
            <w:r>
              <w:rPr>
                <w:sz w:val="18"/>
              </w:rPr>
              <w:t>热调用</w:t>
            </w:r>
          </w:p>
        </w:tc>
      </w:tr>
      <w:tr w14:paraId="28733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553B9B7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075" w:type="dxa"/>
          </w:tcPr>
          <w:p w14:paraId="140E0204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2075" w:type="dxa"/>
          </w:tcPr>
          <w:p w14:paraId="3E08E263">
            <w:pPr>
              <w:spacing w:after="0" w:line="240" w:lineRule="auto"/>
            </w:pPr>
            <w:r>
              <w:rPr>
                <w:sz w:val="18"/>
              </w:rPr>
              <w:t>1.55</w:t>
            </w:r>
          </w:p>
        </w:tc>
        <w:tc>
          <w:tcPr>
            <w:tcW w:w="2075" w:type="dxa"/>
          </w:tcPr>
          <w:p w14:paraId="533656C2">
            <w:pPr>
              <w:spacing w:after="0" w:line="240" w:lineRule="auto"/>
            </w:pPr>
            <w:r>
              <w:rPr>
                <w:sz w:val="18"/>
              </w:rPr>
              <w:t>热调用（最优）</w:t>
            </w:r>
          </w:p>
        </w:tc>
      </w:tr>
      <w:tr w14:paraId="0335E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27FC424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075" w:type="dxa"/>
          </w:tcPr>
          <w:p w14:paraId="13EDF9C1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2075" w:type="dxa"/>
          </w:tcPr>
          <w:p w14:paraId="4322714B">
            <w:pPr>
              <w:spacing w:after="0" w:line="240" w:lineRule="auto"/>
            </w:pPr>
            <w:r>
              <w:rPr>
                <w:sz w:val="18"/>
              </w:rPr>
              <w:t>2.22</w:t>
            </w:r>
          </w:p>
        </w:tc>
        <w:tc>
          <w:tcPr>
            <w:tcW w:w="2075" w:type="dxa"/>
          </w:tcPr>
          <w:p w14:paraId="3967113F">
            <w:pPr>
              <w:spacing w:after="0" w:line="240" w:lineRule="auto"/>
            </w:pPr>
            <w:r>
              <w:rPr>
                <w:sz w:val="18"/>
              </w:rPr>
              <w:t>热调用</w:t>
            </w:r>
          </w:p>
        </w:tc>
      </w:tr>
    </w:tbl>
    <w:p w14:paraId="3714423C">
      <w:pPr>
        <w:jc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表4 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Lingshu-32B API性能测试</w:t>
      </w:r>
    </w:p>
    <w:p w14:paraId="58E7B09E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关键指标：平均延迟 2.35秒，成功率 5/5 (100%)，最优延迟 1.55秒，最差延迟 3.41秒。Lingshu-32B的API响应稳定，未见超时或限流问题。AIGC内容生成的完整调用（含2048 token输出）通常在3-10秒内完成。</w:t>
      </w:r>
    </w:p>
    <w:p w14:paraId="69207205">
      <w:pPr>
        <w:pStyle w:val="4"/>
      </w:pPr>
      <w:r>
        <w:t>3.4 系统性能指标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2370"/>
        <w:gridCol w:w="4266"/>
      </w:tblGrid>
      <w:tr w14:paraId="05F69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4957F1D">
            <w:pPr>
              <w:spacing w:after="0" w:line="240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2767" w:type="dxa"/>
          </w:tcPr>
          <w:p w14:paraId="02BF8C65">
            <w:pPr>
              <w:spacing w:after="0" w:line="240" w:lineRule="auto"/>
            </w:pPr>
            <w:r>
              <w:rPr>
                <w:b/>
                <w:sz w:val="18"/>
              </w:rPr>
              <w:t>数值</w:t>
            </w:r>
          </w:p>
        </w:tc>
        <w:tc>
          <w:tcPr>
            <w:tcW w:w="2767" w:type="dxa"/>
          </w:tcPr>
          <w:p w14:paraId="3E5A708A">
            <w:pPr>
              <w:spacing w:after="0" w:line="240" w:lineRule="auto"/>
            </w:pPr>
            <w:r>
              <w:rPr>
                <w:b/>
                <w:sz w:val="18"/>
              </w:rPr>
              <w:t>说明</w:t>
            </w:r>
          </w:p>
        </w:tc>
      </w:tr>
      <w:tr w14:paraId="3B04A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163AEE1">
            <w:pPr>
              <w:spacing w:after="0" w:line="240" w:lineRule="auto"/>
            </w:pPr>
            <w:r>
              <w:rPr>
                <w:sz w:val="18"/>
              </w:rPr>
              <w:t>后端代码量</w:t>
            </w:r>
          </w:p>
        </w:tc>
        <w:tc>
          <w:tcPr>
            <w:tcW w:w="2767" w:type="dxa"/>
          </w:tcPr>
          <w:p w14:paraId="7DEB7B0D">
            <w:pPr>
              <w:spacing w:after="0" w:line="240" w:lineRule="auto"/>
            </w:pPr>
            <w:r>
              <w:rPr>
                <w:sz w:val="18"/>
              </w:rPr>
              <w:t>12,163 行（98个.py文件）</w:t>
            </w:r>
          </w:p>
        </w:tc>
        <w:tc>
          <w:tcPr>
            <w:tcW w:w="2767" w:type="dxa"/>
          </w:tcPr>
          <w:p w14:paraId="15AE8239">
            <w:pPr>
              <w:spacing w:after="0" w:line="240" w:lineRule="auto"/>
            </w:pPr>
            <w:r>
              <w:rPr>
                <w:sz w:val="18"/>
              </w:rPr>
              <w:t>不含第三方依赖</w:t>
            </w:r>
          </w:p>
        </w:tc>
      </w:tr>
      <w:tr w14:paraId="240B1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3BECE93">
            <w:pPr>
              <w:spacing w:after="0" w:line="240" w:lineRule="auto"/>
            </w:pPr>
            <w:r>
              <w:rPr>
                <w:sz w:val="18"/>
              </w:rPr>
              <w:t>前端代码量</w:t>
            </w:r>
          </w:p>
        </w:tc>
        <w:tc>
          <w:tcPr>
            <w:tcW w:w="2767" w:type="dxa"/>
          </w:tcPr>
          <w:p w14:paraId="3C653E46">
            <w:pPr>
              <w:spacing w:after="0" w:line="240" w:lineRule="auto"/>
            </w:pPr>
            <w:r>
              <w:rPr>
                <w:sz w:val="18"/>
              </w:rPr>
              <w:t>1,084 行（Vue组件+JS）</w:t>
            </w:r>
          </w:p>
        </w:tc>
        <w:tc>
          <w:tcPr>
            <w:tcW w:w="2767" w:type="dxa"/>
          </w:tcPr>
          <w:p w14:paraId="3A730074">
            <w:pPr>
              <w:spacing w:after="0" w:line="240" w:lineRule="auto"/>
            </w:pPr>
            <w:r>
              <w:rPr>
                <w:sz w:val="18"/>
              </w:rPr>
              <w:t>7个视图+3个组件</w:t>
            </w:r>
          </w:p>
        </w:tc>
      </w:tr>
      <w:tr w14:paraId="665F6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744B439">
            <w:pPr>
              <w:spacing w:after="0" w:line="240" w:lineRule="auto"/>
            </w:pPr>
            <w:r>
              <w:rPr>
                <w:sz w:val="18"/>
              </w:rPr>
              <w:t>API端点数</w:t>
            </w:r>
          </w:p>
        </w:tc>
        <w:tc>
          <w:tcPr>
            <w:tcW w:w="2767" w:type="dxa"/>
          </w:tcPr>
          <w:p w14:paraId="636256D7">
            <w:pPr>
              <w:spacing w:after="0" w:line="240" w:lineRule="auto"/>
            </w:pPr>
            <w:r>
              <w:rPr>
                <w:sz w:val="18"/>
              </w:rPr>
              <w:t>37个（32个API端点）</w:t>
            </w:r>
          </w:p>
        </w:tc>
        <w:tc>
          <w:tcPr>
            <w:tcW w:w="2767" w:type="dxa"/>
          </w:tcPr>
          <w:p w14:paraId="356121A8">
            <w:pPr>
              <w:spacing w:after="0" w:line="240" w:lineRule="auto"/>
            </w:pPr>
            <w:r>
              <w:rPr>
                <w:sz w:val="18"/>
              </w:rPr>
              <w:t>含管理API</w:t>
            </w:r>
          </w:p>
        </w:tc>
      </w:tr>
      <w:tr w14:paraId="24165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75A9D3A">
            <w:pPr>
              <w:spacing w:after="0" w:line="240" w:lineRule="auto"/>
            </w:pPr>
            <w:r>
              <w:rPr>
                <w:sz w:val="18"/>
              </w:rPr>
              <w:t>数据库表</w:t>
            </w:r>
          </w:p>
        </w:tc>
        <w:tc>
          <w:tcPr>
            <w:tcW w:w="2767" w:type="dxa"/>
          </w:tcPr>
          <w:p w14:paraId="11704DEA">
            <w:pPr>
              <w:spacing w:after="0" w:line="240" w:lineRule="auto"/>
            </w:pPr>
            <w:r>
              <w:rPr>
                <w:sz w:val="18"/>
              </w:rPr>
              <w:t>4张（37列emotion_records）</w:t>
            </w:r>
          </w:p>
        </w:tc>
        <w:tc>
          <w:tcPr>
            <w:tcW w:w="2767" w:type="dxa"/>
          </w:tcPr>
          <w:p w14:paraId="4618F2FA">
            <w:pPr>
              <w:spacing w:after="0" w:line="240" w:lineRule="auto"/>
            </w:pPr>
            <w:r>
              <w:rPr>
                <w:sz w:val="18"/>
              </w:rPr>
              <w:t>students/emotion_records/daily_reports/alerts</w:t>
            </w:r>
          </w:p>
        </w:tc>
      </w:tr>
      <w:tr w14:paraId="5AD40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29021B7">
            <w:pPr>
              <w:spacing w:after="0" w:line="240" w:lineRule="auto"/>
            </w:pPr>
            <w:r>
              <w:rPr>
                <w:sz w:val="18"/>
              </w:rPr>
              <w:t>中间件</w:t>
            </w:r>
          </w:p>
        </w:tc>
        <w:tc>
          <w:tcPr>
            <w:tcW w:w="2767" w:type="dxa"/>
          </w:tcPr>
          <w:p w14:paraId="0FC6CAEE">
            <w:pPr>
              <w:spacing w:after="0" w:line="240" w:lineRule="auto"/>
            </w:pPr>
            <w:r>
              <w:rPr>
                <w:sz w:val="18"/>
              </w:rPr>
              <w:t>3个</w:t>
            </w:r>
          </w:p>
        </w:tc>
        <w:tc>
          <w:tcPr>
            <w:tcW w:w="2767" w:type="dxa"/>
          </w:tcPr>
          <w:p w14:paraId="5F18486B">
            <w:pPr>
              <w:spacing w:after="0" w:line="240" w:lineRule="auto"/>
            </w:pPr>
            <w:r>
              <w:rPr>
                <w:sz w:val="18"/>
              </w:rPr>
              <w:t>CORS + 限流 + API日志</w:t>
            </w:r>
          </w:p>
        </w:tc>
      </w:tr>
      <w:tr w14:paraId="11263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DA5CC28">
            <w:pPr>
              <w:spacing w:after="0" w:line="240" w:lineRule="auto"/>
            </w:pPr>
            <w:r>
              <w:rPr>
                <w:sz w:val="18"/>
              </w:rPr>
              <w:t>自动化测试</w:t>
            </w:r>
          </w:p>
        </w:tc>
        <w:tc>
          <w:tcPr>
            <w:tcW w:w="2767" w:type="dxa"/>
          </w:tcPr>
          <w:p w14:paraId="2E36FC57">
            <w:pPr>
              <w:spacing w:after="0" w:line="240" w:lineRule="auto"/>
            </w:pPr>
            <w:r>
              <w:rPr>
                <w:sz w:val="18"/>
              </w:rPr>
              <w:t>56项 全通过</w:t>
            </w:r>
          </w:p>
        </w:tc>
        <w:tc>
          <w:tcPr>
            <w:tcW w:w="2767" w:type="dxa"/>
          </w:tcPr>
          <w:p w14:paraId="49092EC7">
            <w:pPr>
              <w:spacing w:after="0" w:line="240" w:lineRule="auto"/>
            </w:pPr>
            <w:r>
              <w:rPr>
                <w:sz w:val="18"/>
              </w:rPr>
              <w:t>测试通过率100%</w:t>
            </w:r>
          </w:p>
        </w:tc>
      </w:tr>
      <w:tr w14:paraId="1F164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829C481">
            <w:pPr>
              <w:spacing w:after="0" w:line="240" w:lineRule="auto"/>
            </w:pPr>
            <w:r>
              <w:rPr>
                <w:sz w:val="18"/>
              </w:rPr>
              <w:t>LLM平均延迟</w:t>
            </w:r>
          </w:p>
        </w:tc>
        <w:tc>
          <w:tcPr>
            <w:tcW w:w="2767" w:type="dxa"/>
          </w:tcPr>
          <w:p w14:paraId="342E86F8">
            <w:pPr>
              <w:spacing w:after="0" w:line="240" w:lineRule="auto"/>
            </w:pPr>
            <w:r>
              <w:rPr>
                <w:sz w:val="18"/>
              </w:rPr>
              <w:t>2.35秒</w:t>
            </w:r>
          </w:p>
        </w:tc>
        <w:tc>
          <w:tcPr>
            <w:tcW w:w="2767" w:type="dxa"/>
          </w:tcPr>
          <w:p w14:paraId="006D7BB4">
            <w:pPr>
              <w:spacing w:after="0" w:line="240" w:lineRule="auto"/>
            </w:pPr>
            <w:r>
              <w:rPr>
                <w:sz w:val="18"/>
              </w:rPr>
              <w:t>Lingshu-32B @ moark.com</w:t>
            </w:r>
          </w:p>
        </w:tc>
      </w:tr>
      <w:tr w14:paraId="1F7C6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6E87318">
            <w:pPr>
              <w:spacing w:after="0" w:line="240" w:lineRule="auto"/>
            </w:pPr>
            <w:r>
              <w:rPr>
                <w:sz w:val="18"/>
              </w:rPr>
              <w:t>LLM成功率</w:t>
            </w:r>
          </w:p>
        </w:tc>
        <w:tc>
          <w:tcPr>
            <w:tcW w:w="2767" w:type="dxa"/>
          </w:tcPr>
          <w:p w14:paraId="78FD2D04">
            <w:pPr>
              <w:spacing w:after="0" w:line="240" w:lineRule="auto"/>
            </w:pPr>
            <w:r>
              <w:rPr>
                <w:sz w:val="18"/>
              </w:rPr>
              <w:t>100% (5/5)</w:t>
            </w:r>
          </w:p>
        </w:tc>
        <w:tc>
          <w:tcPr>
            <w:tcW w:w="2767" w:type="dxa"/>
          </w:tcPr>
          <w:p w14:paraId="36B91351">
            <w:pPr>
              <w:spacing w:after="0" w:line="240" w:lineRule="auto"/>
            </w:pPr>
            <w:r>
              <w:rPr>
                <w:sz w:val="18"/>
              </w:rPr>
              <w:t>所有调用均成功完成</w:t>
            </w:r>
          </w:p>
        </w:tc>
      </w:tr>
      <w:tr w14:paraId="688A2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D8AE708">
            <w:pPr>
              <w:spacing w:after="0" w:line="240" w:lineRule="auto"/>
            </w:pPr>
            <w:r>
              <w:rPr>
                <w:sz w:val="18"/>
              </w:rPr>
              <w:t>并发控制</w:t>
            </w:r>
          </w:p>
        </w:tc>
        <w:tc>
          <w:tcPr>
            <w:tcW w:w="2767" w:type="dxa"/>
          </w:tcPr>
          <w:p w14:paraId="79D04E5D">
            <w:pPr>
              <w:spacing w:after="0" w:line="240" w:lineRule="auto"/>
            </w:pPr>
            <w:r>
              <w:rPr>
                <w:sz w:val="18"/>
              </w:rPr>
              <w:t>Semaphore(3)</w:t>
            </w:r>
          </w:p>
        </w:tc>
        <w:tc>
          <w:tcPr>
            <w:tcW w:w="2767" w:type="dxa"/>
          </w:tcPr>
          <w:p w14:paraId="2D311053">
            <w:pPr>
              <w:spacing w:after="0" w:line="240" w:lineRule="auto"/>
            </w:pPr>
            <w:r>
              <w:rPr>
                <w:sz w:val="18"/>
              </w:rPr>
              <w:t>最多3个并发LLM请求</w:t>
            </w:r>
          </w:p>
        </w:tc>
      </w:tr>
      <w:tr w14:paraId="23188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2CB145B">
            <w:pPr>
              <w:spacing w:after="0" w:line="240" w:lineRule="auto"/>
            </w:pPr>
            <w:r>
              <w:rPr>
                <w:sz w:val="18"/>
              </w:rPr>
              <w:t>限流策略</w:t>
            </w:r>
          </w:p>
        </w:tc>
        <w:tc>
          <w:tcPr>
            <w:tcW w:w="2767" w:type="dxa"/>
          </w:tcPr>
          <w:p w14:paraId="6FE34CE3">
            <w:pPr>
              <w:spacing w:after="0" w:line="240" w:lineRule="auto"/>
            </w:pPr>
            <w:r>
              <w:rPr>
                <w:sz w:val="18"/>
              </w:rPr>
              <w:t>60次/min(普通), 10次/min(LLM)</w:t>
            </w:r>
          </w:p>
        </w:tc>
        <w:tc>
          <w:tcPr>
            <w:tcW w:w="2767" w:type="dxa"/>
          </w:tcPr>
          <w:p w14:paraId="48DCD8D6">
            <w:pPr>
              <w:spacing w:after="0" w:line="240" w:lineRule="auto"/>
            </w:pPr>
            <w:r>
              <w:rPr>
                <w:sz w:val="18"/>
              </w:rPr>
              <w:t>IP级滑动窗口</w:t>
            </w:r>
          </w:p>
        </w:tc>
      </w:tr>
      <w:tr w14:paraId="52254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3E118AA">
            <w:pPr>
              <w:spacing w:after="0" w:line="240" w:lineRule="auto"/>
            </w:pPr>
            <w:r>
              <w:rPr>
                <w:sz w:val="18"/>
              </w:rPr>
              <w:t>部署方式</w:t>
            </w:r>
          </w:p>
        </w:tc>
        <w:tc>
          <w:tcPr>
            <w:tcW w:w="2767" w:type="dxa"/>
          </w:tcPr>
          <w:p w14:paraId="041411DE">
            <w:pPr>
              <w:spacing w:after="0" w:line="240" w:lineRule="auto"/>
            </w:pPr>
            <w:r>
              <w:rPr>
                <w:sz w:val="18"/>
              </w:rPr>
              <w:t>Docker单容器</w:t>
            </w:r>
          </w:p>
        </w:tc>
        <w:tc>
          <w:tcPr>
            <w:tcW w:w="2767" w:type="dxa"/>
          </w:tcPr>
          <w:p w14:paraId="3AAD1088">
            <w:pPr>
              <w:spacing w:after="0" w:line="240" w:lineRule="auto"/>
            </w:pPr>
            <w:r>
              <w:rPr>
                <w:sz w:val="18"/>
              </w:rPr>
              <w:t>Python 3.11-slim + Node构建</w:t>
            </w:r>
          </w:p>
        </w:tc>
      </w:tr>
      <w:tr w14:paraId="79BA6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1323D35">
            <w:pPr>
              <w:spacing w:after="0" w:line="240" w:lineRule="auto"/>
            </w:pPr>
            <w:r>
              <w:rPr>
                <w:sz w:val="18"/>
              </w:rPr>
              <w:t>容器端口</w:t>
            </w:r>
          </w:p>
        </w:tc>
        <w:tc>
          <w:tcPr>
            <w:tcW w:w="2767" w:type="dxa"/>
          </w:tcPr>
          <w:p w14:paraId="5309C1C4">
            <w:pPr>
              <w:spacing w:after="0" w:line="240" w:lineRule="auto"/>
            </w:pPr>
            <w:r>
              <w:rPr>
                <w:sz w:val="18"/>
              </w:rPr>
              <w:t>8000</w:t>
            </w:r>
          </w:p>
        </w:tc>
        <w:tc>
          <w:tcPr>
            <w:tcW w:w="2767" w:type="dxa"/>
          </w:tcPr>
          <w:p w14:paraId="7814134B">
            <w:pPr>
              <w:spacing w:after="0" w:line="240" w:lineRule="auto"/>
            </w:pPr>
            <w:r>
              <w:rPr>
                <w:sz w:val="18"/>
              </w:rPr>
              <w:t>含前端SPA回退</w:t>
            </w:r>
          </w:p>
        </w:tc>
      </w:tr>
      <w:tr w14:paraId="07D72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CB7C7F8">
            <w:pPr>
              <w:spacing w:after="0" w:line="240" w:lineRule="auto"/>
            </w:pPr>
            <w:r>
              <w:rPr>
                <w:sz w:val="18"/>
              </w:rPr>
              <w:t>开源协议</w:t>
            </w:r>
          </w:p>
        </w:tc>
        <w:tc>
          <w:tcPr>
            <w:tcW w:w="2767" w:type="dxa"/>
          </w:tcPr>
          <w:p w14:paraId="2FFF935F">
            <w:pPr>
              <w:spacing w:after="0" w:line="240" w:lineRule="auto"/>
            </w:pPr>
            <w:r>
              <w:rPr>
                <w:sz w:val="18"/>
              </w:rPr>
              <w:t>Apache 2.0</w:t>
            </w:r>
          </w:p>
        </w:tc>
        <w:tc>
          <w:tcPr>
            <w:tcW w:w="2767" w:type="dxa"/>
          </w:tcPr>
          <w:p w14:paraId="3214252C">
            <w:pPr>
              <w:spacing w:after="0" w:line="240" w:lineRule="auto"/>
            </w:pPr>
            <w:r>
              <w:rPr>
                <w:sz w:val="18"/>
              </w:rPr>
              <w:t>GitHub + GitLink 双平台</w:t>
            </w:r>
          </w:p>
        </w:tc>
      </w:tr>
    </w:tbl>
    <w:p w14:paraId="0F10B4CF">
      <w:pPr>
        <w:jc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表5 系统性能指标</w:t>
      </w:r>
    </w:p>
    <w:p w14:paraId="478C2563">
      <w:pPr>
        <w:pStyle w:val="3"/>
      </w:pPr>
      <w:bookmarkStart w:id="4" w:name="_Toc9350"/>
      <w:r>
        <w:t>四、特色创新点</w:t>
      </w:r>
      <w:bookmarkEnd w:id="4"/>
    </w:p>
    <w:p w14:paraId="3FF48089">
      <w:r>
        <w:rPr>
          <w:rFonts w:ascii="宋体" w:hAnsi="宋体" w:eastAsia="宋体"/>
          <w:b/>
          <w:sz w:val="24"/>
        </w:rPr>
        <w:t>1. 沐曦国产GPU + Lingshu-32B全链路国产化AI</w:t>
      </w:r>
    </w:p>
    <w:p w14:paraId="06FEEC60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从底层算力到上层推理引擎全部国产化。通过ExtraBodyChatOpenAI子类适配灵枢非标准API参数（top_k=-1），重写_get_request_payload移除moark.com不支持的tool_choice，同时保留prompt-based ReAct循环作为工具调用替代方案，确保5个Agent在灵枢平台上正常运行。AIGC生成器通过llm_client.py直接调用OpenAI SDK，与Agent层的LangChain调用并行不悖。</w:t>
      </w:r>
    </w:p>
    <w:p w14:paraId="639F0F32">
      <w:r>
        <w:rPr>
          <w:rFonts w:ascii="宋体" w:hAnsi="宋体" w:eastAsia="宋体"/>
          <w:b/>
          <w:sz w:val="24"/>
        </w:rPr>
        <w:t>2. VibraImage白盒前庭振动分析</w:t>
      </w:r>
    </w:p>
    <w:p w14:paraId="76D390AA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基于Viktor Minkin 2020年专著公开公式体系的完整实现。E1-E12每个参数都有明确的物理含义——攻击性对应振动频率峰值、压力对应左右半脸不对称、紧张对应高频能量占比——所有计算都是可解释的。与黑盒深度学习不同，教师和心理医生可以理解每个参数的来源，这对教育场景中的信任度至关重要。10,266人常模数据库为K值统计推断提供了扎实的统计学基础。</w:t>
      </w:r>
    </w:p>
    <w:p w14:paraId="00419750">
      <w:r>
        <w:rPr>
          <w:rFonts w:ascii="宋体" w:hAnsi="宋体" w:eastAsia="宋体"/>
          <w:b/>
          <w:sz w:val="24"/>
        </w:rPr>
        <w:t>3. Lingshu-32B驱动的AIGC双轨生成</w:t>
      </w:r>
    </w:p>
    <w:p w14:paraId="1A080D1D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四个生成器均实现LLM优先 + 模板降级双轨策略。有API Key时，Lingshu-32B直接生成高质量个性化内容（实测生成的心理报告结构完整、措辞专业、表述温暖）；无API Key或调用失败时自动降级到预定义模板，保障系统100%可用。这一设计兼顾了AI增强和系统可靠性，是工程实用主义的体现。</w:t>
      </w:r>
    </w:p>
    <w:p w14:paraId="25C1183F">
      <w:r>
        <w:rPr>
          <w:rFonts w:ascii="宋体" w:hAnsi="宋体" w:eastAsia="宋体"/>
          <w:b/>
          <w:sz w:val="24"/>
        </w:rPr>
        <w:t>4. Prompt-based ReAct Agent适配</w:t>
      </w:r>
    </w:p>
    <w:p w14:paraId="402EAA8D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当发现Lingshu-32B不支持OpenAI function calling后，创新性地使用prompt-based ReAct循环替代：系统提示词描述可用工具→LLM以&lt;tool_call&gt;JSON格式请求调用→Python解析并执行→结果回传→继续推理。同时支持裸JSON格式的兜底检测和重复调用防护机制。这套方案可复用到任何不支持function calling的大模型。</w:t>
      </w:r>
    </w:p>
    <w:p w14:paraId="68A870CC">
      <w:r>
        <w:rPr>
          <w:rFonts w:ascii="宋体" w:hAnsi="宋体" w:eastAsia="宋体"/>
          <w:b/>
          <w:sz w:val="24"/>
        </w:rPr>
        <w:t>5. 产品级完整度与工程实践</w:t>
      </w:r>
    </w:p>
    <w:p w14:paraId="3AA800F0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项目不仅是学术demo，更是一个可真正使用的产品：37个API端点、全局异常处理、IP级限流、API日志审计、LLM调用统计、并发控制、调度器日志、Docker一键部署、中文Swagger UI文档、56项自动化测试。这些工程实践覆盖了从开发到运维的完整软件生命周期。</w:t>
      </w:r>
    </w:p>
    <w:p w14:paraId="096B8CED">
      <w:r>
        <w:br w:type="page"/>
      </w:r>
    </w:p>
    <w:p w14:paraId="46E48946">
      <w:pPr>
        <w:pStyle w:val="3"/>
      </w:pPr>
      <w:bookmarkStart w:id="5" w:name="_Toc8876"/>
      <w:r>
        <w:t>五、开源协作过程说明</w:t>
      </w:r>
      <w:bookmarkEnd w:id="5"/>
    </w:p>
    <w:p w14:paraId="15CB2378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心镜平台严格遵循开源协作规范，完整记录了从项目启动到阶段三交付的全过程。</w:t>
      </w:r>
    </w:p>
    <w:p w14:paraId="57B48ADC">
      <w:r>
        <w:rPr>
          <w:rFonts w:ascii="宋体" w:hAnsi="宋体" w:eastAsia="宋体"/>
          <w:b/>
          <w:sz w:val="24"/>
        </w:rPr>
        <w:t>【开源平台】</w:t>
      </w:r>
    </w:p>
    <w:p w14:paraId="2D789A13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项目在GitHub（https://github.com/wjh55224545/Xinjing-AIGC-Agent-Platform）和GitLink（https://www.gitlink.org.cn/w55224545/Xinjing-AIGC-Agent-Platform）双平台开源，采用Apache 2.0许可证。双平台策略确保国内用户可通过GitLink高速访问，国际社区可通过GitHub参与贡献。</w:t>
      </w:r>
    </w:p>
    <w:p w14:paraId="735B6F3E">
      <w:r>
        <w:rPr>
          <w:rFonts w:ascii="宋体" w:hAnsi="宋体" w:eastAsia="宋体"/>
          <w:b/>
          <w:sz w:val="24"/>
        </w:rPr>
        <w:t>【版本管理】</w:t>
      </w:r>
    </w:p>
    <w:p w14:paraId="35DFDB05">
      <w:r>
        <w:rPr>
          <w:rFonts w:ascii="宋体" w:hAnsi="宋体" w:eastAsia="宋体"/>
          <w:b w:val="0"/>
          <w:sz w:val="24"/>
        </w:rPr>
        <w:t>所有代码通过Git进行版本管理，完整提交历史可追溯：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334BD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25BAD25">
            <w:pPr>
              <w:spacing w:after="0" w:line="240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2767" w:type="dxa"/>
          </w:tcPr>
          <w:p w14:paraId="3C5829E9">
            <w:pPr>
              <w:spacing w:after="0" w:line="240" w:lineRule="auto"/>
            </w:pPr>
            <w:r>
              <w:rPr>
                <w:b/>
                <w:sz w:val="18"/>
              </w:rPr>
              <w:t>关键提交</w:t>
            </w:r>
          </w:p>
        </w:tc>
        <w:tc>
          <w:tcPr>
            <w:tcW w:w="2767" w:type="dxa"/>
          </w:tcPr>
          <w:p w14:paraId="7FECC106">
            <w:pPr>
              <w:spacing w:after="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0C82C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874520D">
            <w:pPr>
              <w:spacing w:after="0" w:line="240" w:lineRule="auto"/>
            </w:pPr>
            <w:r>
              <w:rPr>
                <w:sz w:val="18"/>
              </w:rPr>
              <w:t>阶段一</w:t>
            </w:r>
          </w:p>
        </w:tc>
        <w:tc>
          <w:tcPr>
            <w:tcW w:w="2767" w:type="dxa"/>
          </w:tcPr>
          <w:p w14:paraId="50C74BDE">
            <w:pPr>
              <w:spacing w:after="0" w:line="240" w:lineRule="auto"/>
            </w:pPr>
            <w:r>
              <w:rPr>
                <w:sz w:val="18"/>
              </w:rPr>
              <w:t>c862a07</w:t>
            </w:r>
          </w:p>
        </w:tc>
        <w:tc>
          <w:tcPr>
            <w:tcW w:w="2767" w:type="dxa"/>
          </w:tcPr>
          <w:p w14:paraId="38ED3CA2">
            <w:pPr>
              <w:spacing w:after="0" w:line="240" w:lineRule="auto"/>
            </w:pPr>
            <w:r>
              <w:rPr>
                <w:sz w:val="18"/>
              </w:rPr>
              <w:t>初始版本——5智能体协作架构 + VibraImage引擎 + LangGraph双环状态机</w:t>
            </w:r>
          </w:p>
        </w:tc>
      </w:tr>
      <w:tr w14:paraId="4DDE1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D569233">
            <w:pPr>
              <w:spacing w:after="0" w:line="240" w:lineRule="auto"/>
            </w:pPr>
            <w:r>
              <w:rPr>
                <w:sz w:val="18"/>
              </w:rPr>
              <w:t>阶段二</w:t>
            </w:r>
          </w:p>
        </w:tc>
        <w:tc>
          <w:tcPr>
            <w:tcW w:w="2767" w:type="dxa"/>
          </w:tcPr>
          <w:p w14:paraId="601F6EAD">
            <w:pPr>
              <w:spacing w:after="0" w:line="240" w:lineRule="auto"/>
            </w:pPr>
            <w:r>
              <w:rPr>
                <w:sz w:val="18"/>
              </w:rPr>
              <w:t>f4a95ea + f2ccdd8 + 20ec5bc</w:t>
            </w:r>
          </w:p>
        </w:tc>
        <w:tc>
          <w:tcPr>
            <w:tcW w:w="2767" w:type="dxa"/>
          </w:tcPr>
          <w:p w14:paraId="1DA1E25B">
            <w:pPr>
              <w:spacing w:after="0" w:line="240" w:lineRule="auto"/>
            </w:pPr>
            <w:r>
              <w:rPr>
                <w:sz w:val="18"/>
              </w:rPr>
              <w:t>AIGC接入Lingshu-32B真实LLM + Agent prompt-based ReAct适配 + 前端修复</w:t>
            </w:r>
          </w:p>
        </w:tc>
      </w:tr>
      <w:tr w14:paraId="394C1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88BF39E">
            <w:pPr>
              <w:spacing w:after="0" w:line="240" w:lineRule="auto"/>
            </w:pPr>
            <w:r>
              <w:rPr>
                <w:sz w:val="18"/>
              </w:rPr>
              <w:t>阶段三</w:t>
            </w:r>
          </w:p>
        </w:tc>
        <w:tc>
          <w:tcPr>
            <w:tcW w:w="2767" w:type="dxa"/>
          </w:tcPr>
          <w:p w14:paraId="741B9EFE">
            <w:pPr>
              <w:spacing w:after="0" w:line="240" w:lineRule="auto"/>
            </w:pPr>
            <w:r>
              <w:rPr>
                <w:sz w:val="18"/>
              </w:rPr>
              <w:t>0c7651b + e4d5029 + c006fc3 + e340780 + 6bc441a</w:t>
            </w:r>
          </w:p>
        </w:tc>
        <w:tc>
          <w:tcPr>
            <w:tcW w:w="2767" w:type="dxa"/>
          </w:tcPr>
          <w:p w14:paraId="0EFD605E">
            <w:pPr>
              <w:spacing w:after="0" w:line="240" w:lineRule="auto"/>
            </w:pPr>
            <w:r>
              <w:rPr>
                <w:sz w:val="18"/>
              </w:rPr>
              <w:t>产品化部署 + 运营数据收集 + 用户反馈 + CloudBase适配 + 文档完善</w:t>
            </w:r>
          </w:p>
        </w:tc>
      </w:tr>
    </w:tbl>
    <w:p w14:paraId="12C2766F">
      <w:pPr>
        <w:jc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表6 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版本管理与关键提交记录</w:t>
      </w:r>
    </w:p>
    <w:p w14:paraId="255D6765">
      <w:r>
        <w:rPr>
          <w:rFonts w:ascii="宋体" w:hAnsi="宋体" w:eastAsia="宋体"/>
          <w:b/>
          <w:sz w:val="24"/>
        </w:rPr>
        <w:t>【协作分工】</w:t>
      </w:r>
    </w:p>
    <w:p w14:paraId="6B4EC62F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项目由3名队员协作完成，分工如下：</w:t>
      </w:r>
    </w:p>
    <w:p w14:paraId="06B8A70B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王建豪（队长）：系统架构设计、后端开发（FastAPI + LangGraph + Agent + AIGC引擎）、VibraImage引擎集成、平台适配层、测试框架、Docker部署、技术报告撰写。</w:t>
      </w:r>
    </w:p>
    <w:p w14:paraId="02A0E4EF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吴锴嘉：前端开发（Vue 3仪表盘 + ECharts可视化 + SSE流式面板 + 反馈组件）、API对接、项目演示准备。</w:t>
      </w:r>
    </w:p>
    <w:p w14:paraId="00CB2420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何柏翰：文档撰写（README/项目交付总结/DEPLOY/CHANGELOG/CONTRIBUTING）、测试用例编写、开源资料整理。</w:t>
      </w:r>
    </w:p>
    <w:p w14:paraId="6EC0D7E3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指导老师刘寿强：项目方向指导、心理健康领域专业知识审核、论文/报告审阅。</w:t>
      </w:r>
    </w:p>
    <w:p w14:paraId="30FF7418">
      <w:r>
        <w:rPr>
          <w:rFonts w:ascii="宋体" w:hAnsi="宋体" w:eastAsia="宋体"/>
          <w:b/>
          <w:sz w:val="24"/>
        </w:rPr>
        <w:t>【开源成果】</w:t>
      </w:r>
    </w:p>
    <w:p w14:paraId="1C3E3C92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项目累计完成13次Git提交（截至阶段三完成），包含：22个核心代码文件+11个新增文件（阶段三）、完整的Apache 2.0 LICENSE、详细的README.md（含架构图+快速启动+API文档）、部署指南DEPLOY.md、贡献指南CONTRIBUTING.md、版本变更记录CHANGELOG.md。所有依赖均开源可用，部署步骤可复现。</w:t>
      </w:r>
    </w:p>
    <w:p w14:paraId="3F1BA0A2">
      <w:pPr>
        <w:pStyle w:val="3"/>
      </w:pPr>
      <w:bookmarkStart w:id="6" w:name="_Toc16198"/>
      <w:r>
        <w:t>六、部署与使用</w:t>
      </w:r>
      <w:bookmarkEnd w:id="6"/>
    </w:p>
    <w:p w14:paraId="657FE5AD">
      <w:r>
        <w:rPr>
          <w:rFonts w:ascii="宋体" w:hAnsi="宋体" w:eastAsia="宋体"/>
          <w:b w:val="0"/>
          <w:sz w:val="24"/>
        </w:rPr>
        <w:t>快速启动（3步）：</w:t>
      </w:r>
    </w:p>
    <w:p w14:paraId="7AC914C5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1. 克隆仓库并配置环境：git clone + cp .env.template .env + 编辑.env填入LINGSHU_API_KEY</w:t>
      </w:r>
    </w:p>
    <w:p w14:paraId="5023E3BC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2. 安装依赖并启动：pip install -r requirements.txt + python run_backend.py</w:t>
      </w:r>
    </w:p>
    <w:p w14:paraId="1C383C0C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3. 访问 http://localhost:8000/docs 查看API文档，访问 http://localhost:8000 进入前端页面</w:t>
      </w:r>
    </w:p>
    <w:p w14:paraId="051E535D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Docker部署（单命令）：docker build -t mindmirror . &amp;&amp; docker run -d -p 8000:8000 -e LINGSHU_API_KEY=your_key mindmirror</w:t>
      </w:r>
    </w:p>
    <w:p w14:paraId="7E8BB4EC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运行测试：python -m pytest tests/ -v（预期56 passed）</w:t>
      </w:r>
    </w:p>
    <w:p w14:paraId="55703B2A"/>
    <w:sectPr>
      <w:footerReference r:id="rId5" w:type="default"/>
      <w:pgSz w:w="11906" w:h="16838"/>
      <w:pgMar w:top="1440" w:right="1803" w:bottom="1440" w:left="1803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4C004">
    <w:pPr>
      <w:pStyle w:val="24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DD4917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DD4917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5F43FC"/>
    <w:rsid w:val="0EF10D38"/>
    <w:rsid w:val="13AB6D28"/>
    <w:rsid w:val="13FF4B5B"/>
    <w:rsid w:val="614C74F0"/>
    <w:rsid w:val="7A181268"/>
    <w:rsid w:val="7A6E4037"/>
    <w:rsid w:val="7C97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8">
    <w:name w:val="Header Char"/>
    <w:basedOn w:val="134"/>
    <w:link w:val="25"/>
    <w:qFormat/>
    <w:uiPriority w:val="99"/>
  </w:style>
  <w:style w:type="character" w:customStyle="1" w:styleId="139">
    <w:name w:val="Footer Char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qFormat/>
    <w:uiPriority w:val="99"/>
  </w:style>
  <w:style w:type="character" w:customStyle="1" w:styleId="148">
    <w:name w:val="Body Text 2 Char"/>
    <w:basedOn w:val="134"/>
    <w:link w:val="30"/>
    <w:qFormat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6043</Words>
  <Characters>11941</Characters>
  <Lines>0</Lines>
  <Paragraphs>0</Paragraphs>
  <TotalTime>0</TotalTime>
  <ScaleCrop>false</ScaleCrop>
  <LinksUpToDate>false</LinksUpToDate>
  <CharactersWithSpaces>12386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三天打鱼两天晒王同学</cp:lastModifiedBy>
  <dcterms:modified xsi:type="dcterms:W3CDTF">2026-07-24T15:00:32Z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eyJoZGlkIjoiZjY1MzE3OTg5ZTMwOThmMjZjZDA0NTcwNWY2ZmU4M2UiLCJ1c2VySWQiOiIxNjM2NDQ3MzQwIn0=</vt:lpwstr>
  </property>
  <property fmtid="{D5CDD505-2E9C-101B-9397-08002B2CF9AE}" pid="3" name="KSOProductBuildVer">
    <vt:lpwstr>2052-12.1.0.26895</vt:lpwstr>
  </property>
  <property fmtid="{D5CDD505-2E9C-101B-9397-08002B2CF9AE}" pid="4" name="ICV">
    <vt:lpwstr>39C40B690E7741A4AF8211425A8EBC0D_12</vt:lpwstr>
  </property>
</Properties>
</file>