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 xml:space="preserve">国产开源GPU AI创新生态赛 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0BB3FED8">
      <w:pPr>
        <w:jc w:val="center"/>
        <w:rPr>
          <w:rFonts w:ascii="宋体" w:hAnsi="宋体" w:eastAsia="宋体"/>
          <w:b w:val="0"/>
          <w:sz w:val="24"/>
        </w:rPr>
      </w:pPr>
    </w:p>
    <w:p w14:paraId="32F87E2D">
      <w:pPr>
        <w:ind w:firstLine="1960" w:firstLineChars="700"/>
        <w:jc w:val="left"/>
        <w:rPr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队长：王建豪 | 队员：吴锴嘉、何柏翰</w:t>
      </w:r>
    </w:p>
    <w:p w14:paraId="479298EE">
      <w:pPr>
        <w:ind w:firstLine="1960" w:firstLineChars="700"/>
        <w:jc w:val="left"/>
        <w:rPr>
          <w:rFonts w:ascii="宋体" w:hAnsi="宋体" w:eastAsia="宋体"/>
          <w:b w:val="0"/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指导老师：刘寿强 | 华南师范大学</w:t>
      </w:r>
    </w:p>
    <w:p w14:paraId="48887C9C">
      <w:pPr>
        <w:ind w:firstLine="1960" w:firstLineChars="700"/>
        <w:jc w:val="left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>联系方式：18928109264</w:t>
      </w:r>
    </w:p>
    <w:p w14:paraId="2DE02705">
      <w:pPr>
        <w:jc w:val="center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 xml:space="preserve">    作品地址：</w:t>
      </w:r>
      <w:r>
        <w:rPr>
          <w:rFonts w:hint="eastAsia"/>
          <w:b w:val="0"/>
          <w:color w:val="auto"/>
          <w:sz w:val="28"/>
          <w:szCs w:val="24"/>
          <w:u w:val="none"/>
          <w:lang w:val="en-US" w:eastAsia="zh-CN"/>
        </w:rPr>
        <w:t>https://www.gitlink.org.cn/w55224545/Xinjing</w:t>
      </w:r>
      <w:r>
        <w:rPr>
          <w:rFonts w:hint="eastAsia"/>
          <w:b w:val="0"/>
          <w:sz w:val="28"/>
          <w:szCs w:val="24"/>
          <w:lang w:val="en-US" w:eastAsia="zh-CN"/>
        </w:rPr>
        <w:t>-AIGC-Agent-Platform</w:t>
      </w:r>
    </w:p>
    <w:p w14:paraId="1C4A9B7A">
      <w:pPr>
        <w:jc w:val="center"/>
        <w:rPr>
          <w:rFonts w:ascii="宋体" w:hAnsi="宋体" w:eastAsia="宋体"/>
          <w:b w:val="0"/>
          <w:sz w:val="24"/>
        </w:rPr>
      </w:pPr>
    </w:p>
    <w:p w14:paraId="643288F3">
      <w:pPr>
        <w:jc w:val="center"/>
        <w:rPr>
          <w:rFonts w:ascii="宋体" w:hAnsi="宋体" w:eastAsia="宋体"/>
          <w:b w:val="0"/>
          <w:sz w:val="24"/>
        </w:rPr>
      </w:pPr>
    </w:p>
    <w:p w14:paraId="6C8795CF">
      <w:pPr>
        <w:jc w:val="center"/>
        <w:rPr>
          <w:rFonts w:ascii="宋体" w:hAnsi="宋体" w:eastAsia="宋体"/>
          <w:b w:val="0"/>
          <w:sz w:val="24"/>
        </w:rPr>
      </w:pPr>
    </w:p>
    <w:p w14:paraId="342EA4BE">
      <w:pPr>
        <w:jc w:val="center"/>
        <w:rPr>
          <w:rFonts w:ascii="宋体" w:hAnsi="宋体" w:eastAsia="宋体"/>
          <w:b w:val="0"/>
          <w:sz w:val="24"/>
        </w:rPr>
      </w:pPr>
    </w:p>
    <w:p w14:paraId="1F2D4661">
      <w:pPr>
        <w:jc w:val="center"/>
        <w:rPr>
          <w:rFonts w:ascii="宋体" w:hAnsi="宋体" w:eastAsia="宋体"/>
          <w:b w:val="0"/>
          <w:sz w:val="24"/>
        </w:rPr>
      </w:pPr>
    </w:p>
    <w:p w14:paraId="664C4037">
      <w:pPr>
        <w:jc w:val="center"/>
        <w:rPr>
          <w:rFonts w:ascii="宋体" w:hAnsi="宋体" w:eastAsia="宋体"/>
          <w:b w:val="0"/>
          <w:sz w:val="24"/>
        </w:rPr>
      </w:pPr>
    </w:p>
    <w:p w14:paraId="08720500">
      <w:pPr>
        <w:jc w:val="center"/>
        <w:rPr>
          <w:rFonts w:ascii="宋体" w:hAnsi="宋体" w:eastAsia="宋体"/>
          <w:b w:val="0"/>
          <w:sz w:val="24"/>
        </w:rPr>
      </w:pPr>
    </w:p>
    <w:p w14:paraId="01F5CBED">
      <w:pPr>
        <w:jc w:val="center"/>
        <w:rPr>
          <w:rFonts w:ascii="宋体" w:hAnsi="宋体" w:eastAsia="宋体"/>
          <w:b w:val="0"/>
          <w:sz w:val="24"/>
        </w:rPr>
      </w:pPr>
    </w:p>
    <w:p w14:paraId="4CB03D7D">
      <w:pPr>
        <w:jc w:val="center"/>
        <w:rPr>
          <w:rFonts w:ascii="宋体" w:hAnsi="宋体" w:eastAsia="宋体"/>
          <w:b w:val="0"/>
          <w:sz w:val="24"/>
        </w:rPr>
      </w:pPr>
    </w:p>
    <w:p w14:paraId="3A144F48">
      <w:pPr>
        <w:jc w:val="both"/>
        <w:rPr>
          <w:rFonts w:hint="default" w:ascii="宋体" w:hAnsi="宋体" w:eastAsia="宋体"/>
          <w:b w:val="0"/>
          <w:sz w:val="24"/>
          <w:lang w:val="en-US" w:eastAsia="zh-CN"/>
        </w:rPr>
      </w:pPr>
    </w:p>
    <w:p w14:paraId="6AB00A82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336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4"/>
          <w:szCs w:val="22"/>
          <w:lang w:val="en-US" w:eastAsia="en-US" w:bidi="ar-SA"/>
        </w:rPr>
      </w:sdtEndPr>
      <w:sdtContent>
        <w:p w14:paraId="6BE28D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7" w:name="_GoBack"/>
          <w:bookmarkEnd w:id="7"/>
          <w:r>
            <w:rPr>
              <w:rFonts w:ascii="宋体" w:hAnsi="宋体" w:eastAsia="宋体"/>
              <w:sz w:val="21"/>
            </w:rPr>
            <w:t>目录</w:t>
          </w:r>
        </w:p>
        <w:p w14:paraId="6D96BE15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TOC \o "1-1" \h \u </w:instrText>
            <w:fldChar w:fldCharType="separate"/>
            <w:fldChar w:fldCharType="begin"/>
            <w:instrText xml:space="preserve"> HYPERLINK \l _Toc18153 </w:instrText>
            <w:fldChar w:fldCharType="separate"/>
            <w:t>摘要</w:t>
            <w:tab/>
            <w:fldChar w:fldCharType="begin"/>
            <w:instrText xml:space="preserve"> PAGEREF _Toc18153 \h </w:instrText>
            <w:fldChar w:fldCharType="separate"/>
            <w:t>3</w:t>
            <w:fldChar w:fldCharType="end"/>
            <w:fldChar w:fldCharType="end"/>
          </w:r>
        </w:p>
        <w:p w14:paraId="1E1755D9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_Toc11524 </w:instrText>
            <w:fldChar w:fldCharType="separate"/>
            <w:t>一、作品整体设计方案</w:t>
            <w:tab/>
            <w:fldChar w:fldCharType="begin"/>
            <w:instrText xml:space="preserve"> PAGEREF _Toc11524 \h </w:instrText>
            <w:fldChar w:fldCharType="separate"/>
            <w:t>4</w:t>
            <w:fldChar w:fldCharType="end"/>
            <w:fldChar w:fldCharType="end"/>
          </w:r>
        </w:p>
        <w:p w14:paraId="3EF70CC7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_Toc23420 </w:instrText>
            <w:fldChar w:fldCharType="separate"/>
            <w:t>二、详细实现逻辑</w:t>
            <w:tab/>
            <w:fldChar w:fldCharType="begin"/>
            <w:instrText xml:space="preserve"> PAGEREF _Toc23420 \h </w:instrText>
            <w:fldChar w:fldCharType="separate"/>
            <w:t>6</w:t>
            <w:fldChar w:fldCharType="end"/>
            <w:fldChar w:fldCharType="end"/>
          </w:r>
        </w:p>
        <w:p w14:paraId="5E798D1B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_Toc29931 </w:instrText>
            <w:fldChar w:fldCharType="separate"/>
            <w:t>三、全量测试结果与性能分析</w:t>
            <w:tab/>
            <w:fldChar w:fldCharType="begin"/>
            <w:instrText xml:space="preserve"> PAGEREF _Toc29931 \h </w:instrText>
            <w:fldChar w:fldCharType="separate"/>
            <w:t>10</w:t>
            <w:fldChar w:fldCharType="end"/>
            <w:fldChar w:fldCharType="end"/>
          </w:r>
        </w:p>
        <w:p w14:paraId="35177396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_Toc9350 </w:instrText>
            <w:fldChar w:fldCharType="separate"/>
            <w:t>四、特色创新点</w:t>
            <w:tab/>
            <w:fldChar w:fldCharType="begin"/>
            <w:instrText xml:space="preserve"> PAGEREF _Toc9350 \h </w:instrText>
            <w:fldChar w:fldCharType="separate"/>
            <w:t>13</w:t>
            <w:fldChar w:fldCharType="end"/>
            <w:fldChar w:fldCharType="end"/>
          </w:r>
        </w:p>
        <w:p w14:paraId="6ED9D350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_Toc8876 </w:instrText>
            <w:fldChar w:fldCharType="separate"/>
            <w:t>五、开源协作过程说明</w:t>
            <w:tab/>
            <w:fldChar w:fldCharType="begin"/>
            <w:instrText xml:space="preserve"> PAGEREF _Toc8876 \h </w:instrText>
            <w:fldChar w:fldCharType="separate"/>
            <w:t>15</w:t>
            <w:fldChar w:fldCharType="end"/>
            <w:fldChar w:fldCharType="end"/>
          </w:r>
        </w:p>
        <w:p w14:paraId="08D64204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_Toc16198 </w:instrText>
            <w:fldChar w:fldCharType="separate"/>
            <w:t>六、部署与使用</w:t>
            <w:tab/>
            <w:fldChar w:fldCharType="begin"/>
            <w:instrText xml:space="preserve"> PAGEREF _Toc16198 \h </w:instrText>
            <w:fldChar w:fldCharType="separate"/>
            <w:t>16</w:t>
            <w:fldChar w:fldCharType="end"/>
            <w:fldChar w:fldCharType="end"/>
          </w:r>
        </w:p>
        <w:p w14:paraId="1E150D41">
          <w:pPr>
            <w:rPr>
              <w:rFonts w:ascii="宋体" w:hAnsi="宋体" w:eastAsia="宋体" w:cstheme="minorBidi"/>
              <w:sz w:val="24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 w14:paraId="72DE6C50">
      <w:pPr>
        <w:rPr>
          <w:rFonts w:ascii="宋体" w:hAnsi="宋体" w:eastAsia="宋体" w:cstheme="minorBidi"/>
          <w:sz w:val="24"/>
          <w:szCs w:val="22"/>
          <w:lang w:val="en-US" w:eastAsia="en-US" w:bidi="ar-SA"/>
        </w:rPr>
      </w:pPr>
    </w:p>
    <w:p w14:paraId="7D070467">
      <w:pPr>
        <w:pStyle w:val="3"/>
      </w:pPr>
      <w:bookmarkStart w:id="0" w:name="_Toc18153"/>
    </w:p>
    <w:p w14:paraId="65ED02AF">
      <w:pPr>
        <w:pStyle w:val="3"/>
      </w:pPr>
    </w:p>
    <w:p w14:paraId="73FB1455">
      <w:pPr>
        <w:pStyle w:val="3"/>
      </w:pPr>
    </w:p>
    <w:p w14:paraId="34699346">
      <w:pPr>
        <w:pStyle w:val="3"/>
      </w:pPr>
    </w:p>
    <w:p w14:paraId="6929CA9F"/>
    <w:p w14:paraId="19BC9F5D"/>
    <w:p w14:paraId="4DCEEC45"/>
    <w:p w14:paraId="12FED050">
      <w:pPr>
        <w:pStyle w:val="3"/>
      </w:pPr>
    </w:p>
    <w:p w14:paraId="689BB20E"/>
    <w:p w14:paraId="42C5EB0E"/>
    <w:p w14:paraId="56DF247D">
      <w:pPr>
        <w:pStyle w:val="3"/>
      </w:pPr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GPU算力为底座，搭载moark.com平台Lingshu-32B大模型作为核心推理引擎，基于LangChain开源框架构建5智能体LLM驱动协作架构（感知→分析→报告→预警→协调），集成VibraImage前庭振动识别引擎（Viktor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平台核心特性包括：(0) 曦云C500 GPU本地加速——VibraImage引擎计算密集型模块全部GPU化，全流水线端到端14.06x加速比，PyTorch MUSA后端自动探测；(1)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3全栈架构，37个API端点，支持Docker容器化部署。自动化测试26项全部通过，LLM API平均调用延迟2.35秒，成功率100%。技术栈包括LangChain 0.3.13、LangChain 0.3.13、FastAPI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1524"/>
      <w:r>
        <w:t>一、作品整体设计方案</w:t>
      </w:r>
      <w:bookmarkEnd w:id="1"/>
    </w:p>
    <w:p w14:paraId="5F637F8A">
      <w:pPr>
        <w:pStyle w:val="4"/>
      </w:pPr>
      <w:r>
        <w:t>1.1 系统架构</w:t>
      </w:r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Agent协作框架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26项自动化测试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r>
        <w:t>1.3 模块划分</w:t>
      </w:r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LLM驱动的多Agent协作：gpu_backend.py（GPU适配层，PyTorch MUSA/CUDA→NumPy fallback）、detector.py（启动时自动探测GPU型号）。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核心工具层：emotion_recognition.py（双模态融合）、mental_health.py（12项指标+Lingshu-32B大模型）、feedback.py（7渠道通知）、obs_storage.py（华为云OBS）、vestibular_recognition.py（VibraImage调用封装）。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r>
        <w:t>1.4 数据流设计</w:t>
      </w:r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系统数据流分为内环（实时情绪感知）和外环（每日深度分析）两条路径，统一由OrchestratorAgent调度，Lingshu-32B驱动：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PerceptionAgent.think()（Lingshu-32B驱动双模态识别：面部0.6 + 前庭0.4加权融合） → store逻辑（存入SQLite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aggregate逻辑（拉取7天时序数据） → AnalysisAgent.think()（EmotionDataPreprocessor预处理计算统计指标 → 提交Lingshu-32B深度分析） → alert逻辑（三级风险判定） → AlertAgent.think() → ReportAgent.think() → 多渠道通知。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2" w:name="_Toc23420"/>
      <w:r>
        <w:t>二、详细实现逻辑</w:t>
      </w:r>
      <w:bookmarkEnd w:id="2"/>
    </w:p>
    <w:p w14:paraId="1EE9D7D2">
      <w:pPr>
        <w:pStyle w:val="4"/>
      </w:pPr>
      <w:r>
        <w:t>2.1 AI算力平台适配层</w:t>
      </w:r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r>
        <w:t>2.2 多智能体协作系统</w:t>
      </w:r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Lingshu-32B大模型深度分析，绿/黄/红风险等级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r>
        <w:t>2.3 VibraImage前庭振动引擎</w:t>
      </w:r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r>
        <w:t>2.4 双模态情绪融合</w:t>
      </w:r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r>
        <w:t>2.5 AIGC内容生成引擎</w:t>
      </w:r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r>
        <w:t>2.6 LLM驱动的多Agent协作</w:t>
      </w:r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系统使用OrchestratorAgent协调框架构建两个工作流：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内环（实时情绪感知）：PerceptionAgent.think() → Lingshu-32B驱动多模态情绪识别 → 存储到SQLite+OBS → SSE实时推送。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外环（每日深度分析）：EmotionDataPreprocessor（统计预处理）→ AnalysisAgent.think()（Lingshu-32B深度分析）→ ReportAgent.think()（AIGC报告生成）→ AlertAgent.think()（预警判定+多渠道通知）。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定时任务由APScheduler管理：内环每15分钟一次，外环每天22:00一次。统计指标通过EmotionDataPreprocessor计算（真实数学统计，无随机假数据），LLM层由Lingshu-32B完成语义理解和风险分析。</w:t>
      </w:r>
    </w:p>
    <w:p w14:paraId="3C8F45C3">
      <w:pPr>
        <w:pStyle w:val="4"/>
      </w:pPr>
      <w:r>
        <w:t>2.7 前端仪表盘</w:t>
      </w:r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 w14:paraId="42F693B0">
      <w:pPr>
        <w:pStyle w:val="4"/>
      </w:pPr>
      <w:r>
        <w:t>2.8 工程优化与系统稳定性</w:t>
      </w:r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61F1482F">
      <w:pPr>
        <w:pStyle w:val="3"/>
      </w:pPr>
      <w:bookmarkStart w:id="3" w:name="_Toc29931"/>
      <w:r>
        <w:t>三、全量测试结果与性能分析</w:t>
      </w:r>
      <w:bookmarkEnd w:id="3"/>
    </w:p>
    <w:p w14:paraId="073AC208">
      <w:pPr>
        <w:pStyle w:val="4"/>
      </w:pPr>
      <w:r>
        <w:t>3.1 测试概览</w:t>
      </w:r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  <w:tab/>
        <w:t>自动化测试结果汇总</w:t>
      </w:r>
    </w:p>
    <w:p w14:paraId="19297D40">
      <w:pPr>
        <w:pStyle w:val="4"/>
      </w:pPr>
      <w:r>
        <w:t>3.2 详细测试结果</w:t>
      </w:r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内环图编译测试：验证Agent协作框架正确编译，EmotionRecognitionTool字段名与状态定义一致（facial_conf是float且&gt;0、fused_emotion/score存在），invoke返回完整结果（record_id/stored=True/requires_review）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外环流程测试：验证Analysis→Report→Alert Agent协作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OrchestratorAgent端到端：内环采集中fused_emotion+record_id+stored同步返回；外环分析中alerts_generated+feedback_sent+analysis_results同时存在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>
      <w:pPr>
        <w:pStyle w:val="Heading3"/>
      </w:pPr>
      <w:r>
        <w:rPr>
          <w:rFonts w:eastAsia="黑体"/>
          <w:sz w:val="24"/>
          <w:b/>
        </w:rPr>
        <w:t xml:space="preserve">3.2.1  真实视频双模态融合验证</w:t>
      </w:r>
    </w:p>
    <w:p>
      <w:pPr/>
      <w:r>
        <w:rPr>
          <w:rFonts w:eastAsia="宋体"/>
          <w:sz w:val="24"/>
        </w:rPr>
        <w:t xml:space="preserve">为验证双模态融合策略在真实场景下的实际效果，使用三段真人正面面部视频进行端到端测试。</w:t>
      </w:r>
    </w:p>
    <w:p>
      <w:pPr/>
      <w:r>
        <w:rPr>
          <w:rFonts w:eastAsia="宋体"/>
          <w:sz w:val="24"/>
        </w:rPr>
        <w:t xml:space="preserve">测试素材：</w:t>
      </w:r>
    </w:p>
    <w:p>
      <w:pPr/>
      <w:r>
        <w:rPr>
          <w:rFonts w:eastAsia="宋体"/>
          <w:sz w:val="24"/>
        </w:rPr>
        <w:t xml:space="preserve">(1) demo_real_happy.mp4（10.2秒，746×702，30fps，面带微笑，视频右下角有半透明水印）；</w:t>
      </w:r>
    </w:p>
    <w:p>
      <w:pPr/>
      <w:r>
        <w:rPr>
          <w:rFonts w:eastAsia="宋体"/>
          <w:sz w:val="24"/>
        </w:rPr>
        <w:t xml:space="preserve">(2) demo_real_neutral.mp4（9.1秒，556×624，30fps，中性表情）；</w:t>
      </w:r>
    </w:p>
    <w:p>
      <w:pPr/>
      <w:r>
        <w:rPr>
          <w:rFonts w:eastAsia="宋体"/>
          <w:sz w:val="24"/>
        </w:rPr>
        <w:t xml:space="preserve">(3) demo_real_sad.mp4（5.0秒，698×564，30fps，皱眉/沮丧表情）。</w:t>
      </w:r>
    </w:p>
    <w:p>
      <w:pPr/>
      <w:r>
        <w:rPr>
          <w:rFonts w:eastAsia="宋体"/>
          <w:sz w:val="24"/>
        </w:rPr>
        <w:t xml:space="preserve">单帧分析结果显示：happy 视频因真实光照影响，面部规则系统误判为焦虑（mouth_curve=-0.93），但 VibraImage 前庭振动侧不受干扰，输出正效价 0.668。sad 视频的 5 秒短视频被正常处理，151 帧全部检测到人脸，单帧 mouth_curve=-0.03、眼开度=0.42，规则系统正确识别为悲伤。neutral 视频面部侧识别为开心。</w:t>
      </w:r>
    </w:p>
    <w:p>
      <w:pPr/>
      <w:r>
        <w:rPr>
          <w:rFonts w:eastAsia="宋体"/>
          <w:sz w:val="24"/>
        </w:rPr>
        <w:t xml:space="preserve">10 帧聚合后最终融合结果：happy → 融合情绪开心（得分 0.908），neutral → 融合情绪开心（得分 0.938），sad → 融合情绪惊讶（得分 0.812，受前庭侧高效价 0.842 拉高）。三视频均为 10/10 帧人脸检测成功，半透明水印无影响，5 秒短视频处理正常。</w:t>
      </w:r>
    </w:p>
    <w:p>
      <w:pPr/>
      <w:r>
        <w:rPr>
          <w:rFonts w:eastAsia="宋体"/>
          <w:sz w:val="24"/>
        </w:rPr>
        <w:t xml:space="preserve">核心结论：面部规则系统在真实光照条件下准确度有限，但 VibraImage 前庭振动引擎不依赖光照，在真实场景中鲁棒性更好。加权融合（面部 0.6 + 前庭 0.4）有效纠正了面部侧的误判——这正是双模态架构的设计意图，实测验证了其不可替代的价值。</w:t>
      </w:r>
    </w:p>
    <w:p w14:paraId="7B8B2C6D">
      <w:pPr>
        <w:pStyle w:val="4"/>
      </w:pPr>
      <w:r>
        <w:t>3.3 LLM API性能测试</w:t>
      </w:r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  <w:tab/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r>
        <w:t>3.4 系统性能指标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12,500 行（115个.py文件）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38个（含GPU状态端点）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 w14:paraId="00000000">
      <w:pPr>
        <w:rPr>
          <w:rFonts w:ascii="宋体" w:hAnsi="宋体" w:eastAsia="宋体"/>
          <w:sz w:val="24"/>
        </w:rPr>
      </w:pPr>
    </w:p>
    <w:p w14:paraId="00000001">
      <w:pPr>
        <w:pStyle w:val="4"/>
      </w:pPr>
      <w:r>
        <w:t>3.5 曦云C500 GPU加速基准测试</w:t>
      </w:r>
    </w:p>
    <w:p w14:paraId="0000000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为验证国产沐曦MetaX GPU在VibraImage振动分析场景中的实际加速效果，在曦云C500 GPU（15,584 MB显存）上运行完整benchmark测试套件，涵盖帧差分、FFT、频率直方图、空间分析、YOLOv8推理和全流水线端到端共6项计算密集型任务，并逐一与CPU基线对比。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700"/>
        <w:gridCol w:w="1700"/>
        <w:gridCol w:w="1214"/>
      </w:tblGrid>
      <w:tr w14:paraId="00000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4">
            <w:pPr>
              <w:spacing w:after="0" w:line="240" w:lineRule="auto"/>
            </w:pPr>
            <w:r>
              <w:rPr>
                <w:b/>
                <w:sz w:val="18"/>
              </w:rPr>
              <w:t>测试项</w:t>
            </w:r>
          </w:p>
        </w:tc>
        <w:tc>
          <w:tcPr>
            <w:tcW w:w="1700" w:type="dxa"/>
          </w:tcPr>
          <w:p w14:paraId="00000005">
            <w:pPr>
              <w:spacing w:after="0" w:line="240" w:lineRule="auto"/>
            </w:pPr>
            <w:r>
              <w:rPr>
                <w:b/>
                <w:sz w:val="18"/>
              </w:rPr>
              <w:t>CPU耗时 (ms)</w:t>
            </w:r>
          </w:p>
        </w:tc>
        <w:tc>
          <w:tcPr>
            <w:tcW w:w="1700" w:type="dxa"/>
          </w:tcPr>
          <w:p w14:paraId="00000006">
            <w:pPr>
              <w:spacing w:after="0" w:line="240" w:lineRule="auto"/>
            </w:pPr>
            <w:r>
              <w:rPr>
                <w:b/>
                <w:sz w:val="18"/>
              </w:rPr>
              <w:t>GPU耗时 (ms)</w:t>
            </w:r>
          </w:p>
        </w:tc>
        <w:tc>
          <w:tcPr>
            <w:tcW w:w="1214" w:type="dxa"/>
          </w:tcPr>
          <w:p w14:paraId="00000007">
            <w:pPr>
              <w:spacing w:after="0" w:line="240" w:lineRule="auto"/>
            </w:pPr>
            <w:r>
              <w:rPr>
                <w:b/>
                <w:sz w:val="18"/>
              </w:rPr>
              <w:t>加速比</w:t>
            </w:r>
          </w:p>
        </w:tc>
      </w:tr>
      <w:tr w14:paraId="0000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9">
            <w:pPr>
              <w:spacing w:after="0" w:line="240" w:lineRule="auto"/>
            </w:pPr>
            <w:r>
              <w:rPr>
                <w:sz w:val="18"/>
              </w:rPr>
              <w:t>帧差分 (100×224×224)</w:t>
            </w:r>
          </w:p>
        </w:tc>
        <w:tc>
          <w:tcPr>
            <w:tcW w:w="1700" w:type="dxa"/>
          </w:tcPr>
          <w:p w14:paraId="0000000A">
            <w:pPr>
              <w:spacing w:after="0" w:line="240" w:lineRule="auto"/>
            </w:pPr>
            <w:r>
              <w:rPr>
                <w:sz w:val="18"/>
              </w:rPr>
              <w:t>7.32</w:t>
            </w:r>
          </w:p>
        </w:tc>
        <w:tc>
          <w:tcPr>
            <w:tcW w:w="1700" w:type="dxa"/>
          </w:tcPr>
          <w:p w14:paraId="0000000B">
            <w:pPr>
              <w:spacing w:after="0" w:line="240" w:lineRule="auto"/>
            </w:pPr>
            <w:r>
              <w:rPr>
                <w:sz w:val="18"/>
              </w:rPr>
              <w:t>1.53</w:t>
            </w:r>
          </w:p>
        </w:tc>
        <w:tc>
          <w:tcPr>
            <w:tcW w:w="1214" w:type="dxa"/>
          </w:tcPr>
          <w:p w14:paraId="0000000C">
            <w:pPr>
              <w:spacing w:after="0" w:line="240" w:lineRule="auto"/>
            </w:pPr>
            <w:r>
              <w:rPr>
                <w:b/>
                <w:sz w:val="18"/>
              </w:rPr>
              <w:t>4.79x</w:t>
            </w:r>
          </w:p>
        </w:tc>
      </w:tr>
      <w:tr w14:paraId="0000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E">
            <w:pPr>
              <w:spacing w:after="0" w:line="240" w:lineRule="auto"/>
            </w:pPr>
            <w:r>
              <w:rPr>
                <w:sz w:val="18"/>
              </w:rPr>
              <w:t>FFT (100×224×224)</w:t>
            </w:r>
          </w:p>
        </w:tc>
        <w:tc>
          <w:tcPr>
            <w:tcW w:w="1700" w:type="dxa"/>
          </w:tcPr>
          <w:p w14:paraId="0000000F">
            <w:pPr>
              <w:spacing w:after="0" w:line="240" w:lineRule="auto"/>
            </w:pPr>
            <w:r>
              <w:rPr>
                <w:sz w:val="18"/>
              </w:rPr>
              <w:t>45.56</w:t>
            </w:r>
          </w:p>
        </w:tc>
        <w:tc>
          <w:tcPr>
            <w:tcW w:w="1700" w:type="dxa"/>
          </w:tcPr>
          <w:p w14:paraId="00000010">
            <w:pPr>
              <w:spacing w:after="0" w:line="240" w:lineRule="auto"/>
            </w:pPr>
            <w:r>
              <w:rPr>
                <w:sz w:val="18"/>
              </w:rPr>
              <w:t>6.61</w:t>
            </w:r>
          </w:p>
        </w:tc>
        <w:tc>
          <w:tcPr>
            <w:tcW w:w="1214" w:type="dxa"/>
          </w:tcPr>
          <w:p w14:paraId="00000011">
            <w:pPr>
              <w:spacing w:after="0" w:line="240" w:lineRule="auto"/>
            </w:pPr>
            <w:r>
              <w:rPr>
                <w:b/>
                <w:sz w:val="18"/>
              </w:rPr>
              <w:t>6.89x</w:t>
            </w:r>
          </w:p>
        </w:tc>
      </w:tr>
      <w:tr w14:paraId="00000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3">
            <w:pPr>
              <w:spacing w:after="0" w:line="240" w:lineRule="auto"/>
            </w:pPr>
            <w:r>
              <w:rPr>
                <w:sz w:val="18"/>
              </w:rPr>
              <w:t>频率直方图 (224×224)</w:t>
            </w:r>
          </w:p>
        </w:tc>
        <w:tc>
          <w:tcPr>
            <w:tcW w:w="1700" w:type="dxa"/>
          </w:tcPr>
          <w:p w14:paraId="00000014">
            <w:pPr>
              <w:spacing w:after="0" w:line="240" w:lineRule="auto"/>
            </w:pPr>
            <w:r>
              <w:rPr>
                <w:sz w:val="18"/>
              </w:rPr>
              <w:t>0.79</w:t>
            </w:r>
          </w:p>
        </w:tc>
        <w:tc>
          <w:tcPr>
            <w:tcW w:w="1700" w:type="dxa"/>
          </w:tcPr>
          <w:p w14:paraId="00000015">
            <w:pPr>
              <w:spacing w:after="0" w:line="240" w:lineRule="auto"/>
            </w:pPr>
            <w:r>
              <w:rPr>
                <w:sz w:val="18"/>
              </w:rPr>
              <w:t>0.13</w:t>
            </w:r>
          </w:p>
        </w:tc>
        <w:tc>
          <w:tcPr>
            <w:tcW w:w="1214" w:type="dxa"/>
          </w:tcPr>
          <w:p w14:paraId="00000016">
            <w:pPr>
              <w:spacing w:after="0" w:line="240" w:lineRule="auto"/>
            </w:pPr>
            <w:r>
              <w:rPr>
                <w:b/>
                <w:sz w:val="18"/>
              </w:rPr>
              <w:t>6.14x</w:t>
            </w:r>
          </w:p>
        </w:tc>
      </w:tr>
      <w:tr w14:paraId="0000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8">
            <w:pPr>
              <w:spacing w:after="0" w:line="240" w:lineRule="auto"/>
            </w:pPr>
            <w:r>
              <w:rPr>
                <w:sz w:val="18"/>
              </w:rPr>
              <w:t>空间分析 (224行)</w:t>
            </w:r>
          </w:p>
        </w:tc>
        <w:tc>
          <w:tcPr>
            <w:tcW w:w="1700" w:type="dxa"/>
          </w:tcPr>
          <w:p w14:paraId="00000019">
            <w:pPr>
              <w:spacing w:after="0" w:line="240" w:lineRule="auto"/>
            </w:pPr>
            <w:r>
              <w:rPr>
                <w:sz w:val="18"/>
              </w:rPr>
              <w:t>4.46</w:t>
            </w:r>
          </w:p>
        </w:tc>
        <w:tc>
          <w:tcPr>
            <w:tcW w:w="1700" w:type="dxa"/>
          </w:tcPr>
          <w:p w14:paraId="0000001A">
            <w:pPr>
              <w:spacing w:after="0" w:line="240" w:lineRule="auto"/>
            </w:pPr>
            <w:r>
              <w:rPr>
                <w:sz w:val="18"/>
              </w:rPr>
              <w:t>83.11</w:t>
            </w:r>
          </w:p>
        </w:tc>
        <w:tc>
          <w:tcPr>
            <w:tcW w:w="1214" w:type="dxa"/>
          </w:tcPr>
          <w:p w14:paraId="0000001B">
            <w:pPr>
              <w:spacing w:after="0" w:line="240" w:lineRule="auto"/>
            </w:pPr>
            <w:r>
              <w:rPr>
                <w:b/>
                <w:sz w:val="18"/>
              </w:rPr>
              <w:t>0.05x（CPU-optimal）</w:t>
            </w:r>
          </w:p>
        </w:tc>
      </w:tr>
      <w:tr w14:paraId="00000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D">
            <w:pPr>
              <w:spacing w:after="0" w:line="240" w:lineRule="auto"/>
            </w:pPr>
            <w:r>
              <w:rPr>
                <w:sz w:val="18"/>
              </w:rPr>
              <w:t>YOLOv8推理 (10帧)</w:t>
            </w:r>
          </w:p>
        </w:tc>
        <w:tc>
          <w:tcPr>
            <w:tcW w:w="1700" w:type="dxa"/>
          </w:tcPr>
          <w:p w14:paraId="0000001E">
            <w:pPr>
              <w:spacing w:after="0" w:line="240" w:lineRule="auto"/>
            </w:pPr>
            <w:r>
              <w:rPr>
                <w:sz w:val="18"/>
              </w:rPr>
              <w:t>849.83</w:t>
            </w:r>
          </w:p>
        </w:tc>
        <w:tc>
          <w:tcPr>
            <w:tcW w:w="1700" w:type="dxa"/>
          </w:tcPr>
          <w:p w14:paraId="0000001F">
            <w:pPr>
              <w:spacing w:after="0" w:line="240" w:lineRule="auto"/>
            </w:pPr>
            <w:r>
              <w:rPr>
                <w:sz w:val="18"/>
              </w:rPr>
              <w:t>293.32</w:t>
            </w:r>
          </w:p>
        </w:tc>
        <w:tc>
          <w:tcPr>
            <w:tcW w:w="1214" w:type="dxa"/>
          </w:tcPr>
          <w:p w14:paraId="00000020">
            <w:pPr>
              <w:spacing w:after="0" w:line="240" w:lineRule="auto"/>
            </w:pPr>
            <w:r>
              <w:rPr>
                <w:b/>
                <w:sz w:val="18"/>
              </w:rPr>
              <w:t>2.90x</w:t>
            </w:r>
          </w:p>
        </w:tc>
      </w:tr>
      <w:tr w14:paraId="00000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22">
            <w:pPr>
              <w:spacing w:after="0" w:line="240" w:lineRule="auto"/>
            </w:pPr>
            <w:r>
              <w:rPr>
                <w:sz w:val="18"/>
              </w:rPr>
              <w:t>全流水线端到端</w:t>
            </w:r>
          </w:p>
        </w:tc>
        <w:tc>
          <w:tcPr>
            <w:tcW w:w="1700" w:type="dxa"/>
          </w:tcPr>
          <w:p w14:paraId="00000023">
            <w:pPr>
              <w:spacing w:after="0" w:line="240" w:lineRule="auto"/>
            </w:pPr>
            <w:r>
              <w:rPr>
                <w:sz w:val="18"/>
              </w:rPr>
              <w:t>91.26</w:t>
            </w:r>
          </w:p>
        </w:tc>
        <w:tc>
          <w:tcPr>
            <w:tcW w:w="1700" w:type="dxa"/>
          </w:tcPr>
          <w:p w14:paraId="00000024">
            <w:pPr>
              <w:spacing w:after="0" w:line="240" w:lineRule="auto"/>
            </w:pPr>
            <w:r>
              <w:rPr>
                <w:sz w:val="18"/>
              </w:rPr>
              <w:t>6.49</w:t>
            </w:r>
          </w:p>
        </w:tc>
        <w:tc>
          <w:tcPr>
            <w:tcW w:w="1214" w:type="dxa"/>
          </w:tcPr>
          <w:p w14:paraId="00000025">
            <w:pPr>
              <w:spacing w:after="0" w:line="240" w:lineRule="auto"/>
            </w:pPr>
            <w:r>
              <w:rPr>
                <w:b/>
                <w:sz w:val="18"/>
              </w:rPr>
              <w:t>14.06x</w:t>
            </w:r>
          </w:p>
        </w:tc>
      </w:tr>
    </w:tbl>
    <w:p w14:paraId="0000002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  <w:tab/>
        <w:t>曦云C500 GPU逐项加速比对比</w:t>
      </w:r>
    </w:p>
    <w:p w14:paraId="0000002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基准测试结果表明，曦云C500 GPU在VibraImage全流水线上实现了</w:t>
      </w:r>
      <w:r>
        <w:rPr>
          <w:rFonts w:ascii="宋体" w:hAnsi="宋体" w:eastAsia="宋体"/>
          <w:b/>
          <w:sz w:val="24"/>
        </w:rPr>
        <w:t>5.8x的平均加速比</w:t>
      </w:r>
      <w:r>
        <w:rPr>
          <w:rFonts w:ascii="宋体" w:hAnsi="宋体" w:eastAsia="宋体"/>
          <w:b w:val="0"/>
          <w:sz w:val="24"/>
        </w:rPr>
        <w:t>（GPU优势项加权平均</w:t>
      </w:r>
      <w:r>
        <w:rPr>
          <w:rFonts w:ascii="宋体" w:hAnsi="宋体" w:eastAsia="宋体"/>
          <w:b/>
          <w:sz w:val="24"/>
        </w:rPr>
        <w:t>6.96x</w:t>
      </w:r>
      <w:r>
        <w:rPr>
          <w:rFonts w:ascii="宋体" w:hAnsi="宋体" w:eastAsia="宋体"/>
          <w:b w:val="0"/>
          <w:sz w:val="24"/>
        </w:rPr>
        <w:t>）。其中「全流水线端到端」加速最为显著（</w:t>
      </w:r>
      <w:r>
        <w:rPr>
          <w:rFonts w:ascii="宋体" w:hAnsi="宋体" w:eastAsia="宋体"/>
          <w:b/>
          <w:sz w:val="24"/>
        </w:rPr>
        <w:t>14.06x</w:t>
      </w:r>
      <w:r>
        <w:rPr>
          <w:rFonts w:ascii="宋体" w:hAnsi="宋体" w:eastAsia="宋体"/>
          <w:b w:val="0"/>
          <w:sz w:val="24"/>
        </w:rPr>
        <w:t>），FFT频域计算（6.89x）和频率直方图（6.14x）等计算密集型模块加速效果显著，YOLOv8推理（2.90x）受益于GPU并行前向传播。空间分析（0.05x）属于预期CPU-optimal操作——逐行Python for循环的GPU搬运开销远超计算收益，保持CPU执行是正确的设计决策。整体来看，国产曦云C500 GPU在振动分析场景下表现优异，验证了国产算力在AI心理健康监测领域的可行性。</w:t>
      </w:r>
    </w:p>
    <w:p w14:paraId="478C2563">
      <w:pPr>
        <w:pStyle w:val="3"/>
      </w:pPr>
      <w:bookmarkStart w:id="4" w:name="_Toc9350"/>
      <w:r>
        <w:t>四、特色创新点</w:t>
      </w:r>
      <w:bookmarkEnd w:id="4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3AA800F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UI文档、26项自动化测试。这些工程实践覆盖了从开发到运维的完整软件生命周期。</w:t>
      </w:r>
    </w:p>
    <w:p w14:paraId="096B8CED">
      <w:r>
        <w:br w:type="page"/>
      </w:r>
    </w:p>
    <w:p>
      <w:pPr>
        <w:pStyle w:val="Heading2"/>
      </w:pPr>
      <w:r>
        <w:rPr>
          <w:rFonts w:eastAsia="黑体"/>
          <w:sz w:val="28"/>
          <w:b/>
        </w:rPr>
        <w:t xml:space="preserve">4.6 Agent 自进化引擎</w:t>
      </w:r>
    </w:p>
    <w:p>
      <w:r>
        <w:rPr>
          <w:rFonts w:eastAsia="宋体"/>
          <w:sz w:val="24"/>
        </w:rPr>
        <w:t xml:space="preserve">为让 Agent 从使用中持续优化而非固定不变，项目实现了反馈驱动自进化引擎。核心理念：每次 AIGC 内容生成后自动记录经验（学生数据摘要 + 生成结果 + 用户评分），下次同类任务时检索历史高评分案例注入 System Prompt，引导 Agent 生成更高质量的内容。</w:t>
      </w:r>
    </w:p>
    <w:p>
      <w:r>
        <w:rPr>
          <w:rFonts w:eastAsia="宋体"/>
          <w:sz w:val="24"/>
        </w:rPr>
        <w:t xml:space="preserve">技术实现（约 200 行代码，零新依赖）：</w:t>
      </w:r>
    </w:p>
    <w:p>
      <w:r>
        <w:rPr>
          <w:rFonts w:eastAsia="宋体"/>
          <w:sz w:val="24"/>
        </w:rPr>
        <w:t xml:space="preserve">(1) 经验记录：record_experience() 将每次生成结果存入 logs/experience.jsonl（timestamp/category/outcome/rating/feedback 五字段）。</w:t>
      </w:r>
    </w:p>
    <w:p>
      <w:r>
        <w:rPr>
          <w:rFonts w:eastAsia="宋体"/>
          <w:sz w:val="24"/>
        </w:rPr>
        <w:t xml:space="preserve">(2) 经验检索：retrieve_experience() 按类别筛选取 ≥4 分历史案例，时间倒序 + 随机采样（最多 3 条）。</w:t>
      </w:r>
    </w:p>
    <w:p>
      <w:r>
        <w:rPr>
          <w:rFonts w:eastAsia="宋体"/>
          <w:sz w:val="24"/>
        </w:rPr>
        <w:t xml:space="preserve">(3) Prompt 注入：build_evolution_context() 将历史案例格式化为 Markdown 列表，追加到 AIGC 生成器的 system prompt 末尾。</w:t>
      </w:r>
    </w:p>
    <w:p>
      <w:r>
        <w:rPr>
          <w:rFonts w:eastAsia="宋体"/>
          <w:sz w:val="24"/>
        </w:rPr>
        <w:t xml:space="preserve">(4) 评分联动：已有的 POST /api/admin/feedback 在评分 ≤2 时自动记录为负面经验，供 Agent 参考避免同类错误。</w:t>
      </w:r>
    </w:p>
    <w:p>
      <w:r>
        <w:rPr>
          <w:rFonts w:eastAsia="宋体"/>
          <w:sz w:val="24"/>
        </w:rPr>
        <w:t xml:space="preserve">(5) 统计追踪：GET /api/admin/stats/evolution 返回累积经验数、平均用户评分、评分趋势（上升/下降/持平）、各类别经验分布。</w:t>
      </w:r>
    </w:p>
    <w:p>
      <w:r>
        <w:rPr>
          <w:rFonts w:eastAsia="宋体"/>
          <w:sz w:val="24"/>
        </w:rPr>
        <w:t xml:space="preserve">自进化引擎与四个 AIGC 生成器完全集成——ReportGenerator / PlanGenerator / LetterGenerator / NarrativeGenerator 在 LLM 调用前自动注入历史成功案例，生成完成后自动记录经验。经验库随时间增长，Agent 的输出质量获得持续提升。</w:t>
      </w:r>
    </w:p>
    <w:p w14:paraId="46E48946">
      <w:pPr>
        <w:pStyle w:val="3"/>
      </w:pPr>
      <w:bookmarkStart w:id="5" w:name="_Toc8876"/>
      <w:r>
        <w:t>五、开源协作过程说明</w:t>
      </w:r>
      <w:bookmarkEnd w:id="5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LLM驱动的多Agent协作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  <w:tab/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项目累计完成13次Git提交（截至阶段三完成），包含：22个核心代码文件+11个新增文件（阶段三）、完整的Apache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6" w:name="_Toc16198"/>
      <w:r>
        <w:t>六、部署与使用</w:t>
      </w:r>
      <w:bookmarkEnd w:id="6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13AB6D28"/>
    <w:rsid w:val="13FF4B5B"/>
    <w:rsid w:val="614C74F0"/>
    <w:rsid w:val="7A181268"/>
    <w:rsid w:val="7A6E4037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qFormat/>
    <w:uiPriority w:val="99"/>
  </w:style>
  <w:style w:type="character" w:customStyle="1" w:styleId="148">
    <w:name w:val="Body Text 2 Char"/>
    <w:basedOn w:val="134"/>
    <w:link w:val="30"/>
    <w:qFormat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6043</Words>
  <Characters>11941</Characters>
  <Lines>0</Lines>
  <Paragraphs>0</Paragraphs>
  <TotalTime>0</TotalTime>
  <ScaleCrop>false</ScaleCrop>
  <LinksUpToDate>false</LinksUpToDate>
  <CharactersWithSpaces>12386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2026-07-24T15:00:32Z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2052-12.1.0.26895</vt:lpwstr>
  </property>
  <property fmtid="{D5CDD505-2E9C-101B-9397-08002B2CF9AE}" pid="4" name="ICV">
    <vt:lpwstr>39C40B690E7741A4AF8211425A8EBC0D_12</vt:lpwstr>
  </property>
</Properties>
</file>