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7" w:name="_GoBack"/>
          <w:bookmarkEnd w:id="7"/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_Toc18153 </w:instrText>
          </w:r>
          <w:r>
            <w:fldChar w:fldCharType="separate"/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_Toc18153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_Toc11524 </w:instrText>
          </w:r>
          <w:r>
            <w:fldChar w:fldCharType="separate"/>
          </w:r>
          <w:r>
            <w:t>一、作品整体设计方案</w:t>
          </w:r>
          <w:r>
            <w:tab/>
          </w:r>
          <w:r>
            <w:fldChar w:fldCharType="begin"/>
          </w:r>
          <w:r>
            <w:instrText xml:space="preserve"> PAGEREF _Toc11524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_Toc23420 </w:instrText>
          </w:r>
          <w:r>
            <w:fldChar w:fldCharType="separate"/>
          </w:r>
          <w:r>
            <w:t>二、详细实现逻辑</w:t>
          </w:r>
          <w:r>
            <w:tab/>
          </w:r>
          <w:r>
            <w:fldChar w:fldCharType="begin"/>
          </w:r>
          <w:r>
            <w:instrText xml:space="preserve"> PAGEREF _Toc23420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_Toc29931 </w:instrText>
          </w:r>
          <w:r>
            <w:fldChar w:fldCharType="separate"/>
          </w:r>
          <w:r>
            <w:t>三、全量测试结果与性能分析</w:t>
          </w:r>
          <w:r>
            <w:tab/>
          </w:r>
          <w:r>
            <w:fldChar w:fldCharType="begin"/>
          </w:r>
          <w:r>
            <w:instrText xml:space="preserve"> PAGEREF _Toc29931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_Toc9350 </w:instrText>
          </w:r>
          <w:r>
            <w:fldChar w:fldCharType="separate"/>
          </w:r>
          <w:r>
            <w:t>四、特色创新点</w:t>
          </w:r>
          <w:r>
            <w:tab/>
          </w:r>
          <w:r>
            <w:fldChar w:fldCharType="begin"/>
          </w:r>
          <w:r>
            <w:instrText xml:space="preserve"> PAGEREF _Toc9350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_Toc8876 </w:instrText>
          </w:r>
          <w:r>
            <w:fldChar w:fldCharType="separate"/>
          </w:r>
          <w:r>
            <w:t>五、开源协作过程说明</w:t>
          </w:r>
          <w:r>
            <w:tab/>
          </w:r>
          <w:r>
            <w:fldChar w:fldCharType="begin"/>
          </w:r>
          <w:r>
            <w:instrText xml:space="preserve"> PAGEREF _Toc8876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_Toc16198 </w:instrText>
          </w:r>
          <w:r>
            <w:fldChar w:fldCharType="separate"/>
          </w:r>
          <w:r>
            <w:t>六、部署与使用</w:t>
          </w:r>
          <w:r>
            <w:tab/>
          </w:r>
          <w:r>
            <w:fldChar w:fldCharType="begin"/>
          </w:r>
          <w:r>
            <w:instrText xml:space="preserve"> PAGEREF _Toc16198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GPU算力为底座，搭载moark.com平台Lingshu-32B大模型作为核心推理引擎，基于LangChain和LangGraph开源框架构建5智能体协作架构（感知→分析→报告→预警→协调），集成VibraImage前庭振动识别引擎（Viktor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3全栈架构，37个API端点，支持Docker容器化部署。自动化测试56项全部通过，LLM API平均调用延迟2.35秒，成功率100%。技术栈包括LangChain 0.3.13、LangGraph 0.2.60、FastAPI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 + LangGraph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StateGraph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56项自动化测试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LangGraph双环状态机：inner_loop.py（采集→识别→存储）、outer_loop.py（聚合→分析→预警→反馈）、7个节点文件。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核心工具层：emotion_recognition.py（双模态融合）、mental_health.py（12项指标+LSTM-Transformer）、feedback.py（7渠道通知）、obs_storage.py（华为云OBS）、vestibular_recognition.py（VibraImage调用封装）。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collect_node（采集） → recognize_node（EmotionRecognitionTool双模态识别：面部0.6 + 前庭0.4加权融合） → store_node（存入SQLite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aggregate_node（拉取7天时序数据） → analyze_node（MentalHealthAnalysisTool计算12项指标+LSTM-Transformer分析） → alert_node（三级风险判定） → feedback_node（MultiChannelFeedbackTool多渠道通知）。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LSTM-Transformer时序分析，绿/黄/红风险等级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LangGraph双环状态机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系统使用LangGraph的StateGraph构建两个工作流：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内环（实时情绪感知）：collect_node（采集视频路径）→ recognize_node（调用EmotionRecognitionTool）→ store_node（保存到SQLite+OBS+触发SSE推送）。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外环（每日深度分析）：aggregate_node（拉取7天时序数据）→ analyze_node（MentalHealthAnalysisTool计算12项指标）→ alert_node（风险等级判定+创建Alert记录）→ feedback_node（MultiChannelFeedbackTool执行多渠道通知）。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状态定义使用TypedDict，内环42个字段（含VibraImage E1-E12+K值）、外环7个字段（含analysis_results/alerts_generated/feedback_sent）。定时任务由APScheduler管理：内环每15分钟一次，外环每天22:00一次。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内环图编译测试：验证StateGraph正确编译，EmotionRecognitionTool字段名与状态定义一致（facial_conf是float且&gt;0、fused_emotion/score存在），invoke返回完整结果（record_id/stored=True/requires_review）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外环图编译测试：验证aggregate→analyze→alert→feedback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>
      <w:pPr/>
      <w:r>
        <w:rPr>
          <w:rFonts w:eastAsia="宋体"/>
          <w:sz w:val="24"/>
        </w:rPr>
        <w:t xml:space="preserve">核心结论：面部规则系统的单模态准确度有限，但 VibraImage 前庭振动引擎不依赖光照和表情绘制精度，在真实场景中表现出更好的鲁棒性。加权融合（面部 0.6 + 前庭 0.4）有效纠正了面部侧的误判——这正是双模态架构的设计意图，实测验证了其价值。</w:t>
      </w:r>
    </w:p>
    <w:p>
      <w:pPr/>
      <w:r>
        <w:rPr>
          <w:rFonts w:eastAsia="宋体"/>
          <w:sz w:val="24"/>
        </w:rPr>
        <w:t xml:space="preserve">10 帧聚合后最终融合结果：happy 视频 → 融合情绪开心（得分 0.908），neutral 视频 → 融合情绪开心（得分 0.937）。两段视频均在 10/10 帧中成功检测到人脸，半透明水印未对检测造成任何影响。</w:t>
      </w:r>
    </w:p>
    <w:p>
      <w:pPr/>
      <w:r>
        <w:rPr>
          <w:rFonts w:eastAsia="宋体"/>
          <w:sz w:val="24"/>
        </w:rPr>
        <w:t xml:space="preserve">单帧分析结果显示：happy 视频的面部规则系统输出 mouth_curve=-0.93，推断结果为焦虑——原因在于规则系统对真实光照条件下的口部暗像素分布不敏感，真实人脸的亮度纹理远复杂于合成视频。而前庭振动侧（VibraImage 引擎 + L2 EmotionMapper）不受光照干扰，输出正效价 0.668。</w:t>
      </w:r>
    </w:p>
    <w:p>
      <w:pPr/>
      <w:r>
        <w:rPr>
          <w:rFonts w:eastAsia="宋体"/>
          <w:sz w:val="24"/>
        </w:rPr>
        <w:t xml:space="preserve">(2) demo_real_neutral.mp4（9.1秒，556×624，30fps，中性表情）。</w:t>
      </w:r>
    </w:p>
    <w:p>
      <w:pPr/>
      <w:r>
        <w:rPr>
          <w:rFonts w:eastAsia="宋体"/>
          <w:sz w:val="24"/>
        </w:rPr>
        <w:t xml:space="preserve">(1) demo_real_happy.mp4（10.2秒，746×702，30fps，面带微笑，视频右下角有半透明水印）；</w:t>
      </w:r>
    </w:p>
    <w:p>
      <w:pPr/>
      <w:r>
        <w:rPr>
          <w:rFonts w:eastAsia="宋体"/>
          <w:sz w:val="24"/>
        </w:rPr>
        <w:t xml:space="preserve">测试素材：两段真人正面面部视频——</w:t>
      </w:r>
    </w:p>
    <w:p>
      <w:pPr/>
      <w:r>
        <w:rPr>
          <w:rFonts w:eastAsia="宋体"/>
          <w:sz w:val="24"/>
        </w:rPr>
        <w:t xml:space="preserve">为验证双模态融合策略在真实场景下的实际效果，使用真实人脸视频进行端到端测试。</w:t>
      </w:r>
    </w:p>
    <w:p>
      <w:pPr>
        <w:pStyle w:val="Heading2"/>
      </w:pPr>
      <w:r>
        <w:rPr>
          <w:rFonts w:eastAsia="黑体"/>
          <w:sz w:val="28"/>
        </w:rPr>
        <w:t xml:space="preserve">3.2.1  真实视频双模态融合验证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12,163 行（98个.py文件）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37个（32个API端点）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3AA800F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UI文档、56项自动化测试。这些工程实践覆盖了从开发到运维的完整软件生命周期。</w:t>
      </w:r>
    </w:p>
    <w:p w14:paraId="096B8CED">
      <w:r>
        <w:br w:type="page"/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LangGraph双环状态机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项目累计完成13次Git提交（截至阶段三完成），包含：22个核心代码文件+11个新增文件（阶段三）、完整的Apache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614C74F0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6043</Words>
  <Characters>11941</Characters>
  <Lines>0</Lines>
  <Paragraphs>0</Paragraphs>
  <TotalTime>0</TotalTime>
  <ScaleCrop>false</ScaleCrop>
  <LinksUpToDate>false</LinksUpToDate>
  <CharactersWithSpaces>12386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2026-07-24T15:00:32Z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39C40B690E7741A4AF8211425A8EBC0D_12</vt:lpwstr>
  </property>
</Properties>
</file>