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ED447">
      <w:pPr>
        <w:jc w:val="center"/>
      </w:pPr>
      <w:r>
        <w:rPr>
          <w:rFonts w:ascii="黑体" w:hAnsi="黑体"/>
          <w:b/>
          <w:i w:val="0"/>
          <w:color w:val="000000"/>
          <w:sz w:val="52"/>
        </w:rPr>
        <w:t>技术报告</w:t>
      </w:r>
    </w:p>
    <w:p w14:paraId="315AFB16">
      <w:pPr>
        <w:pStyle w:val="3"/>
      </w:pPr>
      <w:r>
        <w:rPr>
          <w:rFonts w:ascii="黑体" w:hAnsi="黑体"/>
          <w:color w:val="000000"/>
        </w:rPr>
        <w:t>心镜·AIGC智能体平台 —— 基于沐曦国产GPU与灵枢医疗大模型的多智能体心理健康AIGC系统</w:t>
      </w:r>
    </w:p>
    <w:p w14:paraId="1D701979">
      <w:pPr>
        <w:pBdr>
          <w:bottom w:val="single" w:color="000000" w:sz="6" w:space="4"/>
        </w:pBd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9EBB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056FE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项目</w:t>
            </w:r>
          </w:p>
        </w:tc>
        <w:tc>
          <w:tcPr>
            <w:tcW w:w="4320" w:type="dxa"/>
          </w:tcPr>
          <w:p w14:paraId="04552AB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内容</w:t>
            </w:r>
          </w:p>
        </w:tc>
      </w:tr>
      <w:tr w14:paraId="7A750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2E408DB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参赛队名</w:t>
            </w:r>
          </w:p>
        </w:tc>
        <w:tc>
          <w:tcPr>
            <w:tcW w:w="4320" w:type="dxa"/>
          </w:tcPr>
          <w:p w14:paraId="4B564A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码上成功队</w:t>
            </w:r>
          </w:p>
        </w:tc>
      </w:tr>
      <w:tr w14:paraId="78E3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DAD3DA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队　长</w:t>
            </w:r>
          </w:p>
        </w:tc>
        <w:tc>
          <w:tcPr>
            <w:tcW w:w="4320" w:type="dxa"/>
          </w:tcPr>
          <w:p w14:paraId="2BFEEB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王建豪</w:t>
            </w:r>
          </w:p>
        </w:tc>
      </w:tr>
      <w:tr w14:paraId="04FE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320" w:type="dxa"/>
          </w:tcPr>
          <w:p w14:paraId="7518BF02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联系方式</w:t>
            </w:r>
          </w:p>
        </w:tc>
        <w:tc>
          <w:tcPr>
            <w:tcW w:w="4320" w:type="dxa"/>
          </w:tcPr>
          <w:p w14:paraId="1E0306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18928109264</w:t>
            </w:r>
          </w:p>
        </w:tc>
      </w:tr>
      <w:tr w14:paraId="1170F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0FC3D25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组员名单</w:t>
            </w:r>
          </w:p>
        </w:tc>
        <w:tc>
          <w:tcPr>
            <w:tcW w:w="4320" w:type="dxa"/>
          </w:tcPr>
          <w:p w14:paraId="2134CD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吴锴嘉、何柏翰</w:t>
            </w:r>
          </w:p>
        </w:tc>
      </w:tr>
      <w:tr w14:paraId="499EF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9F1214A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指导老师</w:t>
            </w:r>
          </w:p>
        </w:tc>
        <w:tc>
          <w:tcPr>
            <w:tcW w:w="4320" w:type="dxa"/>
          </w:tcPr>
          <w:p w14:paraId="3B708CB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刘寿强</w:t>
            </w:r>
          </w:p>
        </w:tc>
      </w:tr>
      <w:tr w14:paraId="72C5B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8564E5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参赛单位</w:t>
            </w:r>
          </w:p>
        </w:tc>
        <w:tc>
          <w:tcPr>
            <w:tcW w:w="4320" w:type="dxa"/>
          </w:tcPr>
          <w:p w14:paraId="5D02700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华南师范大学</w:t>
            </w:r>
          </w:p>
        </w:tc>
      </w:tr>
      <w:tr w14:paraId="40917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31640B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作品类别</w:t>
            </w:r>
          </w:p>
        </w:tc>
        <w:tc>
          <w:tcPr>
            <w:tcW w:w="4320" w:type="dxa"/>
          </w:tcPr>
          <w:p w14:paraId="423C23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项目贡献赛道</w:t>
            </w:r>
          </w:p>
        </w:tc>
      </w:tr>
      <w:tr w14:paraId="1C6BA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1978E9B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作品链接</w:t>
            </w:r>
          </w:p>
        </w:tc>
        <w:tc>
          <w:tcPr>
            <w:tcW w:w="4320" w:type="dxa"/>
          </w:tcPr>
          <w:p w14:paraId="60186C7D">
            <w:pPr>
              <w:spacing w:after="0" w:line="240" w:lineRule="auto"/>
              <w:jc w:val="left"/>
            </w:pPr>
          </w:p>
        </w:tc>
      </w:tr>
    </w:tbl>
    <w:p w14:paraId="6033038A"/>
    <w:p w14:paraId="59F77BDA">
      <w:pPr>
        <w:pBdr>
          <w:bottom w:val="single" w:color="000000" w:sz="6" w:space="4"/>
        </w:pBdr>
      </w:pPr>
    </w:p>
    <w:p w14:paraId="327884EE">
      <w:pPr>
        <w:pStyle w:val="4"/>
      </w:pPr>
      <w:r>
        <w:rPr>
          <w:rFonts w:ascii="黑体" w:hAnsi="黑体"/>
          <w:color w:val="000000"/>
        </w:rPr>
        <w:t>摘要</w:t>
      </w:r>
    </w:p>
    <w:p w14:paraId="5B87F95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近年来，青少年心理健康问题日益突出，校园心理危机事件频发。学业压力、人际关系困扰、家庭环境变化等因素导致学生群体中焦虑、抑郁等情绪问题的发生率持续攀升。然而，传统的校园心理健康管理依赖心理教师人工观察与定期问卷普查，存在发现滞后、覆盖面有限、缺乏客观量化指标、干预跟进不及时等痛点。为解决上述问题，本项目设计并实现了 </w:t>
      </w:r>
      <w:r>
        <w:rPr>
          <w:rFonts w:ascii="宋体" w:hAnsi="宋体"/>
          <w:b/>
          <w:i w:val="0"/>
          <w:color w:val="000000"/>
          <w:sz w:val="24"/>
        </w:rPr>
        <w:t>"心镜·AIGC智能体平台"</w:t>
      </w:r>
      <w:r>
        <w:rPr>
          <w:rFonts w:ascii="宋体" w:hAnsi="宋体"/>
          <w:b w:val="0"/>
          <w:i w:val="0"/>
          <w:color w:val="000000"/>
          <w:sz w:val="24"/>
        </w:rPr>
        <w:t xml:space="preserve"> ——一个部署在智慧教室环境中的AI智能体系统。</w:t>
      </w:r>
    </w:p>
    <w:p w14:paraId="6C68001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平台以</w:t>
      </w:r>
      <w:r>
        <w:rPr>
          <w:rFonts w:ascii="宋体" w:hAnsi="宋体"/>
          <w:b/>
          <w:i w:val="0"/>
          <w:color w:val="000000"/>
          <w:sz w:val="24"/>
        </w:rPr>
        <w:t>沐曦MetaX GPU 国产算力</w:t>
      </w:r>
      <w:r>
        <w:rPr>
          <w:rFonts w:ascii="宋体" w:hAnsi="宋体"/>
          <w:b w:val="0"/>
          <w:i w:val="0"/>
          <w:color w:val="000000"/>
          <w:sz w:val="24"/>
        </w:rPr>
        <w:t>为底座，搭载</w:t>
      </w:r>
      <w:r>
        <w:rPr>
          <w:rFonts w:ascii="宋体" w:hAnsi="宋体"/>
          <w:b/>
          <w:i w:val="0"/>
          <w:color w:val="000000"/>
          <w:sz w:val="24"/>
        </w:rPr>
        <w:t>灵枢 Lingshu-32B 医疗大模型</w:t>
      </w:r>
      <w:r>
        <w:rPr>
          <w:rFonts w:ascii="宋体" w:hAnsi="宋体"/>
          <w:b w:val="0"/>
          <w:i w:val="0"/>
          <w:color w:val="000000"/>
          <w:sz w:val="24"/>
        </w:rPr>
        <w:t>作为核心推理引擎，集成</w:t>
      </w:r>
      <w:r>
        <w:rPr>
          <w:rFonts w:ascii="宋体" w:hAnsi="宋体"/>
          <w:b/>
          <w:i w:val="0"/>
          <w:color w:val="000000"/>
          <w:sz w:val="24"/>
        </w:rPr>
        <w:t>VibraImage前庭振动识别引擎</w:t>
      </w:r>
      <w:r>
        <w:rPr>
          <w:rFonts w:ascii="宋体" w:hAnsi="宋体"/>
          <w:b w:val="0"/>
          <w:i w:val="0"/>
          <w:color w:val="000000"/>
          <w:sz w:val="24"/>
        </w:rPr>
        <w:t>（基于Viktor Minkin专著公式体系），通过</w:t>
      </w:r>
      <w:r>
        <w:rPr>
          <w:rFonts w:ascii="宋体" w:hAnsi="宋体"/>
          <w:b/>
          <w:i w:val="0"/>
          <w:color w:val="000000"/>
          <w:sz w:val="24"/>
        </w:rPr>
        <w:t>5智能体协作架构</w:t>
      </w:r>
      <w:r>
        <w:rPr>
          <w:rFonts w:ascii="宋体" w:hAnsi="宋体"/>
          <w:b w:val="0"/>
          <w:i w:val="0"/>
          <w:color w:val="000000"/>
          <w:sz w:val="24"/>
        </w:rPr>
        <w:t>（感知→分析→报告→预警→协调），融合</w:t>
      </w:r>
      <w:r>
        <w:rPr>
          <w:rFonts w:ascii="宋体" w:hAnsi="宋体"/>
          <w:b/>
          <w:i w:val="0"/>
          <w:color w:val="000000"/>
          <w:sz w:val="24"/>
        </w:rPr>
        <w:t>面部微表情 + 前庭振动</w:t>
      </w:r>
      <w:r>
        <w:rPr>
          <w:rFonts w:ascii="宋体" w:hAnsi="宋体"/>
          <w:b w:val="0"/>
          <w:i w:val="0"/>
          <w:color w:val="000000"/>
          <w:sz w:val="24"/>
        </w:rPr>
        <w:t>双模态情绪识别，实现从实时感知、深度心理分析到</w:t>
      </w:r>
      <w:r>
        <w:rPr>
          <w:rFonts w:ascii="宋体" w:hAnsi="宋体"/>
          <w:b/>
          <w:i w:val="0"/>
          <w:color w:val="000000"/>
          <w:sz w:val="24"/>
        </w:rPr>
        <w:t>AIGC内容自动生成</w:t>
      </w:r>
      <w:r>
        <w:rPr>
          <w:rFonts w:ascii="宋体" w:hAnsi="宋体"/>
          <w:b w:val="0"/>
          <w:i w:val="0"/>
          <w:color w:val="000000"/>
          <w:sz w:val="24"/>
        </w:rPr>
        <w:t>（心理报告、干预方案、家校沟通函、成长叙事）的全流程智能化，并通过三级预警系统与多渠道反馈机制形成闭环管理。</w:t>
      </w:r>
    </w:p>
    <w:p w14:paraId="57AC5B1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平台采用FastAPI + LangGraph构建后端服务层，Vue 3 + Vite + ECharts构建前端可视化仪表盘，SQLite + SQLAlchemy管理数据持久化，Docker + docker-compose实现一键部署。系统支持SSE流式推送，使前端可实时观看多智能体协作的完整推理过程。项目内聚56项自动化测试，全部通过，具备产品级完整度。</w:t>
      </w:r>
    </w:p>
    <w:p w14:paraId="0B6CDAB9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关键词：</w:t>
      </w:r>
      <w:r>
        <w:rPr>
          <w:rFonts w:ascii="宋体" w:hAnsi="宋体"/>
          <w:b w:val="0"/>
          <w:i w:val="0"/>
          <w:color w:val="000000"/>
          <w:sz w:val="24"/>
        </w:rPr>
        <w:t xml:space="preserve"> 国产GPU算力，灵枢医疗大模型，AIGC，多智能体协作，前庭振动分析，心理健康，情绪识别，LangGraph</w:t>
      </w:r>
    </w:p>
    <w:p w14:paraId="0A193941">
      <w:pPr>
        <w:pBdr>
          <w:bottom w:val="single" w:color="000000" w:sz="6" w:space="4"/>
        </w:pBdr>
      </w:pPr>
    </w:p>
    <w:p w14:paraId="10E7305A">
      <w:pPr>
        <w:pStyle w:val="4"/>
      </w:pPr>
      <w:r>
        <w:rPr>
          <w:rFonts w:ascii="黑体" w:hAnsi="黑体"/>
          <w:color w:val="000000"/>
        </w:rPr>
        <w:t>1 设计方案</w:t>
      </w:r>
    </w:p>
    <w:p w14:paraId="6360F014">
      <w:pPr>
        <w:pStyle w:val="5"/>
      </w:pPr>
      <w:r>
        <w:rPr>
          <w:rFonts w:ascii="黑体" w:hAnsi="黑体"/>
          <w:color w:val="000000"/>
        </w:rPr>
        <w:t>1.1 需求分析</w:t>
      </w:r>
    </w:p>
    <w:p w14:paraId="2AFDE9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1.1.1 行业痛点</w:t>
      </w:r>
    </w:p>
    <w:p w14:paraId="27F980B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（1）心理健康问题日益严峻。</w:t>
      </w:r>
      <w:r>
        <w:rPr>
          <w:rFonts w:ascii="宋体" w:hAnsi="宋体"/>
          <w:b w:val="0"/>
          <w:i w:val="0"/>
          <w:color w:val="000000"/>
          <w:sz w:val="24"/>
        </w:rPr>
        <w:t xml:space="preserve"> 据中国科学院心理研究所发布的《中国国民心理健康发展报告》显示，我国青少年群体中抑郁检出率约为24.6%，焦虑检出率约为31.3%。学业竞争压力、社交媒体的负面影响、家庭关系紧张等因素叠加，使得学生心理问题呈低龄化、普遍化趋势。</w:t>
      </w:r>
    </w:p>
    <w:p w14:paraId="6AA57D7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（2）传统心理管理模式存在明显短板。</w:t>
      </w:r>
      <w:r>
        <w:rPr>
          <w:rFonts w:ascii="宋体" w:hAnsi="宋体"/>
          <w:b w:val="0"/>
          <w:i w:val="0"/>
          <w:color w:val="000000"/>
          <w:sz w:val="24"/>
        </w:rPr>
        <w:t xml:space="preserve"> 当前校园心理健康管理主要依赖以下方式：一是心理教师人工观察，效率低下、覆盖面有限；二是定期问卷普查（如每学期一次），发现滞后、无法捕捉动态变化；三是被动响应机制，往往在学生出现明显异常行为后才介入干预。这些方式缺乏客观量化指标，难以实现实时监测和预警。</w:t>
      </w:r>
    </w:p>
    <w:p w14:paraId="06D1492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（3）心理咨询资源严重不足。</w:t>
      </w:r>
      <w:r>
        <w:rPr>
          <w:rFonts w:ascii="宋体" w:hAnsi="宋体"/>
          <w:b w:val="0"/>
          <w:i w:val="0"/>
          <w:color w:val="000000"/>
          <w:sz w:val="24"/>
        </w:rPr>
        <w:t xml:space="preserve"> 根据教育部规定，中小学应按1:4000的师生比配备专职心理教师。然而现实中，许多学校心理教师配备严重不足，偏远地区甚至无专职心理教师，导致学生心理问题难以得到及时关注和专业介入。</w:t>
      </w:r>
    </w:p>
    <w:p w14:paraId="09E174CE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（4）家校沟通存在障碍。</w:t>
      </w:r>
      <w:r>
        <w:rPr>
          <w:rFonts w:ascii="宋体" w:hAnsi="宋体"/>
          <w:b w:val="0"/>
          <w:i w:val="0"/>
          <w:color w:val="000000"/>
          <w:sz w:val="24"/>
        </w:rPr>
        <w:t xml:space="preserve"> 学校和家庭之间的心理健康信息传递不畅，家长对孩子在校心理状态了解有限，教师难以系统性地向家长反馈学生情绪状况，沟通效率低下。</w:t>
      </w:r>
    </w:p>
    <w:p w14:paraId="363CECBE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（5）缺乏客观的技术评估手段。</w:t>
      </w:r>
      <w:r>
        <w:rPr>
          <w:rFonts w:ascii="宋体" w:hAnsi="宋体"/>
          <w:b w:val="0"/>
          <w:i w:val="0"/>
          <w:color w:val="000000"/>
          <w:sz w:val="24"/>
        </w:rPr>
        <w:t xml:space="preserve"> 现有心理健康评估以主观问卷为主，缺乏基于生理信号的客观评估维度。前庭振动信号作为反映自主神经系统活动的窗口，可以为心理状态评估提供客观的生理基础。</w:t>
      </w:r>
    </w:p>
    <w:p w14:paraId="66C3AB6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1.1.2 市场分析</w:t>
      </w:r>
    </w:p>
    <w:p w14:paraId="107DBB9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随着国家对青少年心理健康问题的重视程度不断提高，教育部等多部门联合发布了《全面加强和改进新时代学生心理健康工作专项行动计划（2023—2025年）》，明确要求"健全学生心理健康监测体系""加强心理健康教育教师的配备和培训"。在政策驱动下，校园心理健康数字化市场空间巨大。</w:t>
      </w:r>
    </w:p>
    <w:p w14:paraId="21BB8DA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据艾瑞咨询数据，2022年中国心理健康服务市场规模已超过500亿元，年复合增长率约为15%。其中，基于AI技术的心理健康数字化服务正成为增长最快的细分领域。智慧教室作为教育数字化的重要载体，为AI心理健康系统的部署提供了天然的基础设施支撑。</w:t>
      </w:r>
    </w:p>
    <w:p w14:paraId="4BD4DF2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1.1.3 国产算力生态需求</w:t>
      </w:r>
    </w:p>
    <w:p w14:paraId="4920B91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当前AI应用严重依赖英伟达CUDA生态，在中美科技竞争加剧的背景下，国产GPU算力平台的生态建设与示范应用具有战略意义。本项目以沐曦MetaX GPU为算力底座，搭载灵枢Lingshu-32B国产医疗大模型，展示了国产算力从底层硬件到上层应用的全链路可行性与实际价值。</w:t>
      </w:r>
    </w:p>
    <w:p w14:paraId="5355973F">
      <w:pPr>
        <w:pStyle w:val="5"/>
      </w:pPr>
      <w:r>
        <w:rPr>
          <w:rFonts w:ascii="黑体" w:hAnsi="黑体"/>
          <w:color w:val="000000"/>
        </w:rPr>
        <w:t>1.2 国内外研究现状</w:t>
      </w:r>
    </w:p>
    <w:p w14:paraId="0CC2E52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1.2.1 情绪识别研究现状</w:t>
      </w:r>
    </w:p>
    <w:p w14:paraId="4232942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面部表情识别。</w:t>
      </w:r>
      <w:r>
        <w:rPr>
          <w:rFonts w:ascii="宋体" w:hAnsi="宋体"/>
          <w:b w:val="0"/>
          <w:i w:val="0"/>
          <w:color w:val="000000"/>
          <w:sz w:val="24"/>
        </w:rPr>
        <w:t xml:space="preserve"> 基于深度学习的面部表情识别（Facial Expression Recognition, FER）是计算机视觉领域的经典任务。从早期的基于几何特征的方法，到CNN（如VGG、ResNet）再到Vision Transformer架构，FER在实验室环境下的准确率已超过90%。代表性工作包括：Lopes等人（2017）提出的CNN表情识别方法、Wang等人（2020）的Self-Cure Network解决标签不确定性等。然而，FER存在易受光照、遮挡、姿态变化影响的固有问题。</w:t>
      </w:r>
    </w:p>
    <w:p w14:paraId="36B35F3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前庭振动分析。</w:t>
      </w:r>
      <w:r>
        <w:rPr>
          <w:rFonts w:ascii="宋体" w:hAnsi="宋体"/>
          <w:b w:val="0"/>
          <w:i w:val="0"/>
          <w:color w:val="000000"/>
          <w:sz w:val="24"/>
        </w:rPr>
        <w:t xml:space="preserve"> 前庭振动成像（VibraImage）技术由俄罗斯科学家Viktor Minkin在1980年代提出，并于2020年出版专著《Vibraimage, Cybernetics and Emotions》系统阐述其理论基础。该技术通过分析人体头部微振动（频率范围0.1-10Hz）的时空特征来推断心理生理状态，其理论依据是前庭-情绪反射（Vestibulo-Emotional Reflex, VER）——即人的情绪状态变化会导致头部微振动模式的系统性改变。Minkin团队构建了12维情绪参数体系（E1-E12）和K值心理状态指标，并基于10,266人规模建立了常模数据库。与面部表情识别不同，VibraImage是一种白盒算法，每个参数有明确物理含义，不依赖黑盒神经网络。</w:t>
      </w:r>
    </w:p>
    <w:p w14:paraId="4B564EB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双模态融合。</w:t>
      </w:r>
      <w:r>
        <w:rPr>
          <w:rFonts w:ascii="宋体" w:hAnsi="宋体"/>
          <w:b w:val="0"/>
          <w:i w:val="0"/>
          <w:color w:val="000000"/>
          <w:sz w:val="24"/>
        </w:rPr>
        <w:t xml:space="preserve"> 近年来，多模态情绪识别成为研究热点。Poria等人（2017）综述了多模态情感分析的方法；Tzirakis等人（2017）提出端到端的多模态情绪识别模型。双模态融合策略通常包括特征层融合、决策层融合和混合融合三种。决策层加权融合因其实现简单、鲁棒性好而被广泛采用。</w:t>
      </w:r>
    </w:p>
    <w:p w14:paraId="5EC1411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1.2.2 心理健康AI评估研究现状</w:t>
      </w:r>
    </w:p>
    <w:p w14:paraId="2DD381C8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传统方法。</w:t>
      </w:r>
      <w:r>
        <w:rPr>
          <w:rFonts w:ascii="宋体" w:hAnsi="宋体"/>
          <w:b w:val="0"/>
          <w:i w:val="0"/>
          <w:color w:val="000000"/>
          <w:sz w:val="24"/>
        </w:rPr>
        <w:t xml:space="preserve"> 传统的心理健康评估主要依赖标准化问卷（如PHQ-9、GAD-7、SCL-90等），虽然具有较好的信效度，但存在主观性强、耗时、无法连续评估的问题。</w:t>
      </w:r>
    </w:p>
    <w:p w14:paraId="1511422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AI辅助方法。</w:t>
      </w:r>
      <w:r>
        <w:rPr>
          <w:rFonts w:ascii="宋体" w:hAnsi="宋体"/>
          <w:b w:val="0"/>
          <w:i w:val="0"/>
          <w:color w:val="000000"/>
          <w:sz w:val="24"/>
        </w:rPr>
        <w:t xml:space="preserve"> 近年来，基于AI的心理健康评估研究迅速增长。Shatte等人（2019）综述了机器学习在心理健康领域的应用；Guntuku等人（2017）研究了社交媒体文本与心理健康的关系。在模型层面，LSTM-Transformer混合架构在时序心理健康数据分析中展现出优势，LSTM层捕获短期时序依赖，Transformer的注意力机制识别长程风险模式。</w:t>
      </w:r>
    </w:p>
    <w:p w14:paraId="52854C3D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国内研究。</w:t>
      </w:r>
      <w:r>
        <w:rPr>
          <w:rFonts w:ascii="宋体" w:hAnsi="宋体"/>
          <w:b w:val="0"/>
          <w:i w:val="0"/>
          <w:color w:val="000000"/>
          <w:sz w:val="24"/>
        </w:rPr>
        <w:t xml:space="preserve"> 国内方面，中国科学院心理研究所、北京师范大学等机构在AI心理健康评估方面进行了大量探索。华为MindSpore社区涌现了多个基于国产AI框架的心理健康应用项目。然而，目前国内尚缺乏整合"生理信号采集→AI分析→AIGC内容生成→多层次反馈"的全流程闭环系统。</w:t>
      </w:r>
    </w:p>
    <w:p w14:paraId="1E9CC4B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1.2.3 多智能体协作研究现状</w:t>
      </w:r>
    </w:p>
    <w:p w14:paraId="677782B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大型语言模型（LLM）的出现催生了基于Agent的应用范式。LangChain的ReAct Agent模式将推理（Reasoning）和行动（Acting）结合，使LLM能够在真实环境中执行复杂任务。LangGraph进一步支持了多Agent协作的有状态编排。Wang等人（2023）提出了多Agent辩论（Multi-Agent Debate）框架；Park等人（2023）的Generative Agents模拟了25个Agent的社会行为。在垂直应用领域，多Agent协作在医疗诊断、代码生成、科学研究等场景中展现出比单Agent更优的性能。</w:t>
      </w:r>
    </w:p>
    <w:p w14:paraId="4B7EB4C9">
      <w:pPr>
        <w:pStyle w:val="5"/>
      </w:pPr>
      <w:r>
        <w:rPr>
          <w:rFonts w:ascii="黑体" w:hAnsi="黑体"/>
          <w:color w:val="000000"/>
        </w:rPr>
        <w:t>1.3 设计目标</w:t>
      </w:r>
    </w:p>
    <w:p w14:paraId="0116A9C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基于上述分析，本项目制定了以下设计目标：</w:t>
      </w:r>
    </w:p>
    <w:p w14:paraId="4013664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构建双模态情绪感知系统</w:t>
      </w:r>
      <w:r>
        <w:rPr>
          <w:rFonts w:ascii="宋体" w:hAnsi="宋体"/>
          <w:b w:val="0"/>
          <w:i w:val="0"/>
          <w:color w:val="000000"/>
          <w:sz w:val="24"/>
        </w:rPr>
        <w:t>：融合面部微表情识别与VibraImage前庭振动分析两种互补模态，提高情绪识别的准确性和客观性。</w:t>
      </w:r>
    </w:p>
    <w:p w14:paraId="7D1B7B3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开发基于国产算力的多智能体协作架构</w:t>
      </w:r>
      <w:r>
        <w:rPr>
          <w:rFonts w:ascii="宋体" w:hAnsi="宋体"/>
          <w:b w:val="0"/>
          <w:i w:val="0"/>
          <w:color w:val="000000"/>
          <w:sz w:val="24"/>
        </w:rPr>
        <w:t>：以沐曦MetaX GPU为算力底座，灵枢Lingshu-32B医疗大模型为核心推理引擎，设计5个专业智能体分工协作的架构。</w:t>
      </w:r>
    </w:p>
    <w:p w14:paraId="03F5F62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实现全流程AIGC内容生成</w:t>
      </w:r>
      <w:r>
        <w:rPr>
          <w:rFonts w:ascii="宋体" w:hAnsi="宋体"/>
          <w:b w:val="0"/>
          <w:i w:val="0"/>
          <w:color w:val="000000"/>
          <w:sz w:val="24"/>
        </w:rPr>
        <w:t>：基于灵枢大模型自动生成心理评估报告、个性化干预方案、家校沟通函、学生成长叙事等专业内容。</w:t>
      </w:r>
    </w:p>
    <w:p w14:paraId="7FEBC8E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建立三级预警与多渠道反馈机制</w:t>
      </w:r>
      <w:r>
        <w:rPr>
          <w:rFonts w:ascii="宋体" w:hAnsi="宋体"/>
          <w:b w:val="0"/>
          <w:i w:val="0"/>
          <w:color w:val="000000"/>
          <w:sz w:val="24"/>
        </w:rPr>
        <w:t>：构建绿/黄/红三级预警体系，通过看板、APP、微信、短信、邮件、电话等多渠道实现分级反馈。</w:t>
      </w:r>
    </w:p>
    <w:p w14:paraId="2EE32C3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5. </w:t>
      </w:r>
      <w:r>
        <w:rPr>
          <w:rFonts w:ascii="宋体" w:hAnsi="宋体"/>
          <w:b/>
          <w:i w:val="0"/>
          <w:color w:val="000000"/>
          <w:sz w:val="24"/>
        </w:rPr>
        <w:t>打造产品级完整度的软件系统</w:t>
      </w:r>
      <w:r>
        <w:rPr>
          <w:rFonts w:ascii="宋体" w:hAnsi="宋体"/>
          <w:b w:val="0"/>
          <w:i w:val="0"/>
          <w:color w:val="000000"/>
          <w:sz w:val="24"/>
        </w:rPr>
        <w:t>：提供完整的前后端、Docker部署、API文档、自动化测试，确保系统可真实部署使用。</w:t>
      </w:r>
    </w:p>
    <w:p w14:paraId="6AD763A2">
      <w:pPr>
        <w:pBdr>
          <w:bottom w:val="single" w:color="000000" w:sz="6" w:space="4"/>
        </w:pBdr>
      </w:pPr>
    </w:p>
    <w:p w14:paraId="4AEC7417">
      <w:pPr>
        <w:pStyle w:val="4"/>
      </w:pPr>
      <w:r>
        <w:rPr>
          <w:rFonts w:ascii="黑体" w:hAnsi="黑体"/>
          <w:color w:val="000000"/>
        </w:rPr>
        <w:t>2 实现方案</w:t>
      </w:r>
    </w:p>
    <w:p w14:paraId="1DD334AF">
      <w:pPr>
        <w:pStyle w:val="5"/>
      </w:pPr>
      <w:r>
        <w:rPr>
          <w:rFonts w:ascii="黑体" w:hAnsi="黑体"/>
          <w:color w:val="000000"/>
        </w:rPr>
        <w:t>2.1 系统架构设计</w:t>
      </w:r>
    </w:p>
    <w:p w14:paraId="726F411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本系统采用经典的三层BS架构，包括前端展示层、后端服务层和AI算力平台层。</w:t>
      </w:r>
    </w:p>
    <w:p w14:paraId="113649D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061DC81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前端 (Vue 3 + Vite + ECharts)               │</w:t>
      </w:r>
    </w:p>
    <w:p w14:paraId="500EA1E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仪表盘 │ 情绪监测 │ AIGC报告 │ 预警面板 │ 智能体状态       │</w:t>
      </w:r>
    </w:p>
    <w:p w14:paraId="5E7E064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└──────────────────────┬───────────────────────────────────────┘</w:t>
      </w:r>
    </w:p>
    <w:p w14:paraId="1A8B858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               │ HTTP REST + SSE 流式</w:t>
      </w:r>
    </w:p>
    <w:p w14:paraId="296A62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┌──────────────────────▼───────────────────────────────────────┐</w:t>
      </w:r>
    </w:p>
    <w:p w14:paraId="1D76D07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后端 (FastAPI + LangGraph)                      │</w:t>
      </w:r>
    </w:p>
    <w:p w14:paraId="22F9B25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                                             │</w:t>
      </w:r>
    </w:p>
    <w:p w14:paraId="2553148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┌─────────────────────────────────────────────────────┐    │</w:t>
      </w:r>
    </w:p>
    <w:p w14:paraId="18C9132F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多智能体协作系统 (5 Agents · 灵枢驱动)       │    │</w:t>
      </w:r>
    </w:p>
    <w:p w14:paraId="325E0CF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👁️ 感知智能体 ──→ 🧠 分析智能体                     │    │</w:t>
      </w:r>
    </w:p>
    <w:p w14:paraId="2DF8F5A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│                        │                     │    │</w:t>
      </w:r>
    </w:p>
    <w:p w14:paraId="0CD3C2D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└────────┬───────────────┘                     │    │</w:t>
      </w:r>
    </w:p>
    <w:p w14:paraId="3F220C0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↓                                     │    │</w:t>
      </w:r>
    </w:p>
    <w:p w14:paraId="13D5A0D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✨ AIGC报告智能体 ←──────→ 🔔 预警智能体            │    │</w:t>
      </w:r>
    </w:p>
    <w:p w14:paraId="5B141C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↑________________↑                    │    │</w:t>
      </w:r>
    </w:p>
    <w:p w14:paraId="54F3046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    🎯 协调智能体                      │    │</w:t>
      </w:r>
    </w:p>
    <w:p w14:paraId="681C534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└──────────────────────────────────────────────────────┘    │</w:t>
      </w:r>
    </w:p>
    <w:p w14:paraId="01FB8BB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                                             │</w:t>
      </w:r>
    </w:p>
    <w:p w14:paraId="51658A9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┌───────────┐ ┌───────────┐ ┌──────────┐ ┌──────────┐     │</w:t>
      </w:r>
    </w:p>
    <w:p w14:paraId="21D355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情绪识别   │ │ VibraImage│ │ AIGC引擎 │ │ 反馈工具  │     │</w:t>
      </w:r>
    </w:p>
    <w:p w14:paraId="681139B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(面部+前庭)│ │ 振动引擎 ★│ │ 4生成器  │ │ 7渠道    │     │</w:t>
      </w:r>
    </w:p>
    <w:p w14:paraId="353851D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└───────────┘ └───────────┘ └──────────┘ └──────────┘     │</w:t>
      </w:r>
    </w:p>
    <w:p w14:paraId="38A07C3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└──────────────────────┬───────────────────────────────────────┘</w:t>
      </w:r>
    </w:p>
    <w:p w14:paraId="1FA125A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               │ OpenAI 兼容 API</w:t>
      </w:r>
    </w:p>
    <w:p w14:paraId="0FCD0CF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┌──────────────────────▼───────────────────────────────────────┐</w:t>
      </w:r>
    </w:p>
    <w:p w14:paraId="6D4592B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国产AI算力平台                                  │</w:t>
      </w:r>
    </w:p>
    <w:p w14:paraId="7E6F666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┌──────────────────────┐ ┌──────────────┐ ┌──────────────┐ │</w:t>
      </w:r>
    </w:p>
    <w:p w14:paraId="0F1DD87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灵枢 Lingshu-32B     │ │ DeepSeek     │ │ 本地/自定义   │ │</w:t>
      </w:r>
    </w:p>
    <w:p w14:paraId="26AE6F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★ 主平台 · 沐曦GPU   │ │ ☆ 备用       │ │              │ │</w:t>
      </w:r>
    </w:p>
    <w:p w14:paraId="541FE07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32B医疗大模型        │ │ 国产大模型    │ │              │ │</w:t>
      </w:r>
    </w:p>
    <w:p w14:paraId="2ECE6F1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└──────────────────────┘ └──────────────┘ └──────────────┘ │</w:t>
      </w:r>
    </w:p>
    <w:p w14:paraId="0712B92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184E311C"/>
    <w:p w14:paraId="66263E3D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图2.1 系统整体架构图</w:t>
      </w:r>
    </w:p>
    <w:p w14:paraId="32CB3783">
      <w:pPr>
        <w:pStyle w:val="5"/>
      </w:pPr>
      <w:r>
        <w:rPr>
          <w:rFonts w:ascii="黑体" w:hAnsi="黑体"/>
          <w:color w:val="000000"/>
        </w:rPr>
        <w:t>2.2 双模态情绪识别</w:t>
      </w:r>
    </w:p>
    <w:p w14:paraId="5B540D0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2.2.1 面部微表情识别</w:t>
      </w:r>
    </w:p>
    <w:p w14:paraId="655179F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面部情绪识别模块通过调用AI服务分析面部肌肉运动单元（Action Units），识别7种基本情绪：开心、悲伤、愤怒、恐惧、厌恶、惊讶、中性。输出包括情绪类别、置信度、以及Valence（效价）-Arousal（唤醒度）二维情感空间坐标。</w:t>
      </w:r>
    </w:p>
    <w:p w14:paraId="1B5A9CF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2.2.2 VibraImage前庭振动引擎</w:t>
      </w:r>
    </w:p>
    <w:p w14:paraId="78CA44A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前庭振动引擎是本项目的核心技术特色之一。该引擎基于Viktor Minkin专著《Vibraimage, Cybernetics and Emotions》(2020)中公开的公式体系，实现从视频帧到情绪参数的全链路计算。</w:t>
      </w:r>
    </w:p>
    <w:p w14:paraId="71C5AC3B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处理流水线：</w:t>
      </w:r>
    </w:p>
    <w:p w14:paraId="737B481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视频输入 → YOLOv8人脸检测 → 头部ROI裁剪(224×224)</w:t>
      </w:r>
    </w:p>
    <w:p w14:paraId="6B592BB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逐像素帧差分 → 过零率频率分析</w:t>
      </w:r>
    </w:p>
    <w:p w14:paraId="476805D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频率直方图统计 → 左右空间对称性分析 → 频谱功率分布</w:t>
      </w:r>
    </w:p>
    <w:p w14:paraId="7FC5F65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E1-E12情绪参数计算 → K值心理状态指标</w:t>
      </w:r>
    </w:p>
    <w:p w14:paraId="6626E299"/>
    <w:p w14:paraId="51C492D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E1-E12 参数体系：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8112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F6401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参数</w:t>
            </w:r>
          </w:p>
        </w:tc>
        <w:tc>
          <w:tcPr>
            <w:tcW w:w="2160" w:type="dxa"/>
          </w:tcPr>
          <w:p w14:paraId="3C7D6F3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名称</w:t>
            </w:r>
          </w:p>
        </w:tc>
        <w:tc>
          <w:tcPr>
            <w:tcW w:w="2160" w:type="dxa"/>
          </w:tcPr>
          <w:p w14:paraId="322F5C0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物理含义</w:t>
            </w:r>
          </w:p>
        </w:tc>
        <w:tc>
          <w:tcPr>
            <w:tcW w:w="2160" w:type="dxa"/>
          </w:tcPr>
          <w:p w14:paraId="544223F0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计算公式维度</w:t>
            </w:r>
          </w:p>
        </w:tc>
      </w:tr>
      <w:tr w14:paraId="3388F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B1F9F9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</w:t>
            </w:r>
          </w:p>
        </w:tc>
        <w:tc>
          <w:tcPr>
            <w:tcW w:w="2160" w:type="dxa"/>
          </w:tcPr>
          <w:p w14:paraId="66F5619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攻击性(Aggression)</w:t>
            </w:r>
          </w:p>
        </w:tc>
        <w:tc>
          <w:tcPr>
            <w:tcW w:w="2160" w:type="dxa"/>
          </w:tcPr>
          <w:p w14:paraId="3DE5FBA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振动频率峰值×离散度</w:t>
            </w:r>
          </w:p>
        </w:tc>
        <w:tc>
          <w:tcPr>
            <w:tcW w:w="2160" w:type="dxa"/>
          </w:tcPr>
          <w:p w14:paraId="7A8917E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统计特征</w:t>
            </w:r>
          </w:p>
        </w:tc>
      </w:tr>
      <w:tr w14:paraId="322DB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0D747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E2</w:t>
            </w:r>
          </w:p>
        </w:tc>
        <w:tc>
          <w:tcPr>
            <w:tcW w:w="2160" w:type="dxa"/>
          </w:tcPr>
          <w:p w14:paraId="34E36E7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压力(Stress)</w:t>
            </w:r>
          </w:p>
        </w:tc>
        <w:tc>
          <w:tcPr>
            <w:tcW w:w="2160" w:type="dxa"/>
          </w:tcPr>
          <w:p w14:paraId="13AD221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左右半脸运动不对称度</w:t>
            </w:r>
          </w:p>
        </w:tc>
        <w:tc>
          <w:tcPr>
            <w:tcW w:w="2160" w:type="dxa"/>
          </w:tcPr>
          <w:p w14:paraId="6A4FB1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空间特征</w:t>
            </w:r>
          </w:p>
        </w:tc>
      </w:tr>
      <w:tr w14:paraId="1ECEF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2D34B3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E3</w:t>
            </w:r>
          </w:p>
        </w:tc>
        <w:tc>
          <w:tcPr>
            <w:tcW w:w="2160" w:type="dxa"/>
          </w:tcPr>
          <w:p w14:paraId="047ACC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紧张(Tension)</w:t>
            </w:r>
          </w:p>
        </w:tc>
        <w:tc>
          <w:tcPr>
            <w:tcW w:w="2160" w:type="dxa"/>
          </w:tcPr>
          <w:p w14:paraId="54F3EE1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高频振动能量占比</w:t>
            </w:r>
          </w:p>
        </w:tc>
        <w:tc>
          <w:tcPr>
            <w:tcW w:w="2160" w:type="dxa"/>
          </w:tcPr>
          <w:p w14:paraId="025FCE9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频率特征</w:t>
            </w:r>
          </w:p>
        </w:tc>
      </w:tr>
      <w:tr w14:paraId="0DC0F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38505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E4</w:t>
            </w:r>
          </w:p>
        </w:tc>
        <w:tc>
          <w:tcPr>
            <w:tcW w:w="2160" w:type="dxa"/>
          </w:tcPr>
          <w:p w14:paraId="2328C78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可疑度(Suspect)</w:t>
            </w:r>
          </w:p>
        </w:tc>
        <w:tc>
          <w:tcPr>
            <w:tcW w:w="2160" w:type="dxa"/>
          </w:tcPr>
          <w:p w14:paraId="435F605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(E1+E2+E3)/3</w:t>
            </w:r>
          </w:p>
        </w:tc>
        <w:tc>
          <w:tcPr>
            <w:tcW w:w="2160" w:type="dxa"/>
          </w:tcPr>
          <w:p w14:paraId="27A6158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派生参数</w:t>
            </w:r>
          </w:p>
        </w:tc>
      </w:tr>
      <w:tr w14:paraId="3DBA3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752C6C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E5</w:t>
            </w:r>
          </w:p>
        </w:tc>
        <w:tc>
          <w:tcPr>
            <w:tcW w:w="2160" w:type="dxa"/>
          </w:tcPr>
          <w:p w14:paraId="1F7EAF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平衡(Balance)</w:t>
            </w:r>
          </w:p>
        </w:tc>
        <w:tc>
          <w:tcPr>
            <w:tcW w:w="2160" w:type="dxa"/>
          </w:tcPr>
          <w:p w14:paraId="68BA9C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各参数窗口间变异性</w:t>
            </w:r>
          </w:p>
        </w:tc>
        <w:tc>
          <w:tcPr>
            <w:tcW w:w="2160" w:type="dxa"/>
          </w:tcPr>
          <w:p w14:paraId="1CEE08E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时间聚合</w:t>
            </w:r>
          </w:p>
        </w:tc>
      </w:tr>
      <w:tr w14:paraId="49C57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C5157D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E6</w:t>
            </w:r>
          </w:p>
        </w:tc>
        <w:tc>
          <w:tcPr>
            <w:tcW w:w="2160" w:type="dxa"/>
          </w:tcPr>
          <w:p w14:paraId="5BECEC0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魅力(Charm)</w:t>
            </w:r>
          </w:p>
        </w:tc>
        <w:tc>
          <w:tcPr>
            <w:tcW w:w="2160" w:type="dxa"/>
          </w:tcPr>
          <w:p w14:paraId="514AE5F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左右侧运动协调性</w:t>
            </w:r>
          </w:p>
        </w:tc>
        <w:tc>
          <w:tcPr>
            <w:tcW w:w="2160" w:type="dxa"/>
          </w:tcPr>
          <w:p w14:paraId="271CBDE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空间聚合</w:t>
            </w:r>
          </w:p>
        </w:tc>
      </w:tr>
      <w:tr w14:paraId="6B5E4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E1E6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E7</w:t>
            </w:r>
          </w:p>
        </w:tc>
        <w:tc>
          <w:tcPr>
            <w:tcW w:w="2160" w:type="dxa"/>
          </w:tcPr>
          <w:p w14:paraId="6C5C08C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活力(Energy)</w:t>
            </w:r>
          </w:p>
        </w:tc>
        <w:tc>
          <w:tcPr>
            <w:tcW w:w="2160" w:type="dxa"/>
          </w:tcPr>
          <w:p w14:paraId="5266231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直方图统计综合</w:t>
            </w:r>
          </w:p>
        </w:tc>
        <w:tc>
          <w:tcPr>
            <w:tcW w:w="2160" w:type="dxa"/>
          </w:tcPr>
          <w:p w14:paraId="467070E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统计特征</w:t>
            </w:r>
          </w:p>
        </w:tc>
      </w:tr>
      <w:tr w14:paraId="070F5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BADB9E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E8</w:t>
            </w:r>
          </w:p>
        </w:tc>
        <w:tc>
          <w:tcPr>
            <w:tcW w:w="2160" w:type="dxa"/>
          </w:tcPr>
          <w:p w14:paraId="15F55F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自我调节(Self-Reg)</w:t>
            </w:r>
          </w:p>
        </w:tc>
        <w:tc>
          <w:tcPr>
            <w:tcW w:w="2160" w:type="dxa"/>
          </w:tcPr>
          <w:p w14:paraId="35E220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E5/E6稳定性比率</w:t>
            </w:r>
          </w:p>
        </w:tc>
        <w:tc>
          <w:tcPr>
            <w:tcW w:w="2160" w:type="dxa"/>
          </w:tcPr>
          <w:p w14:paraId="06DFEDE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派生参数</w:t>
            </w:r>
          </w:p>
        </w:tc>
      </w:tr>
      <w:tr w14:paraId="03957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938710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E9</w:t>
            </w:r>
          </w:p>
        </w:tc>
        <w:tc>
          <w:tcPr>
            <w:tcW w:w="2160" w:type="dxa"/>
          </w:tcPr>
          <w:p w14:paraId="3CDA6C5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抑制(Inhibition)</w:t>
            </w:r>
          </w:p>
        </w:tc>
        <w:tc>
          <w:tcPr>
            <w:tcW w:w="2160" w:type="dxa"/>
          </w:tcPr>
          <w:p w14:paraId="693EF0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F1主导周期/总时长</w:t>
            </w:r>
          </w:p>
        </w:tc>
        <w:tc>
          <w:tcPr>
            <w:tcW w:w="2160" w:type="dxa"/>
          </w:tcPr>
          <w:p w14:paraId="2040D25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时间特征</w:t>
            </w:r>
          </w:p>
        </w:tc>
      </w:tr>
      <w:tr w14:paraId="79DF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09603B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E10</w:t>
            </w:r>
          </w:p>
        </w:tc>
        <w:tc>
          <w:tcPr>
            <w:tcW w:w="2160" w:type="dxa"/>
          </w:tcPr>
          <w:p w14:paraId="460A518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神经质(Neuroticism)</w:t>
            </w:r>
          </w:p>
        </w:tc>
        <w:tc>
          <w:tcPr>
            <w:tcW w:w="2160" w:type="dxa"/>
          </w:tcPr>
          <w:p w14:paraId="39DEFB3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E9窗口间标准差×10</w:t>
            </w:r>
          </w:p>
        </w:tc>
        <w:tc>
          <w:tcPr>
            <w:tcW w:w="2160" w:type="dxa"/>
          </w:tcPr>
          <w:p w14:paraId="346426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时间特征</w:t>
            </w:r>
          </w:p>
        </w:tc>
      </w:tr>
      <w:tr w14:paraId="614B0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E97DA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E11</w:t>
            </w:r>
          </w:p>
        </w:tc>
        <w:tc>
          <w:tcPr>
            <w:tcW w:w="2160" w:type="dxa"/>
          </w:tcPr>
          <w:p w14:paraId="245FE3A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抑郁(Depression)</w:t>
            </w:r>
          </w:p>
        </w:tc>
        <w:tc>
          <w:tcPr>
            <w:tcW w:w="2160" w:type="dxa"/>
          </w:tcPr>
          <w:p w14:paraId="400A7E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σ相对于0.5Hz偏移</w:t>
            </w:r>
          </w:p>
        </w:tc>
        <w:tc>
          <w:tcPr>
            <w:tcW w:w="2160" w:type="dxa"/>
          </w:tcPr>
          <w:p w14:paraId="19D23A1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病理特征</w:t>
            </w:r>
          </w:p>
        </w:tc>
      </w:tr>
      <w:tr w14:paraId="36C96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9A775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E12</w:t>
            </w:r>
          </w:p>
        </w:tc>
        <w:tc>
          <w:tcPr>
            <w:tcW w:w="2160" w:type="dxa"/>
          </w:tcPr>
          <w:p w14:paraId="438AC5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幸福(Happiness)</w:t>
            </w:r>
          </w:p>
        </w:tc>
        <w:tc>
          <w:tcPr>
            <w:tcW w:w="2160" w:type="dxa"/>
          </w:tcPr>
          <w:p w14:paraId="021969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信息效能×能量特征</w:t>
            </w:r>
          </w:p>
        </w:tc>
        <w:tc>
          <w:tcPr>
            <w:tcW w:w="2160" w:type="dxa"/>
          </w:tcPr>
          <w:p w14:paraId="4273898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综合参数</w:t>
            </w:r>
          </w:p>
        </w:tc>
      </w:tr>
    </w:tbl>
    <w:p w14:paraId="2BDB1218"/>
    <w:p w14:paraId="773A51E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表2.1 VibraImage E1-E12参数体系</w:t>
      </w:r>
    </w:p>
    <w:p w14:paraId="0AC00E8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K值心理状态指标</w:t>
      </w:r>
      <w:r>
        <w:rPr>
          <w:rFonts w:ascii="宋体" w:hAnsi="宋体"/>
          <w:b w:val="0"/>
          <w:i w:val="0"/>
          <w:color w:val="000000"/>
          <w:sz w:val="24"/>
        </w:rPr>
        <w:t>：K = Σ mi × (Ti − Tn_i)，其中mi为第i个参数的权重系数，Ti为实测值，Tn_i为该性别-年龄组的常模值。常模数据来源于Minkin团队构建的10,266人数据库。|K|&lt;3为正常范围，3≤|K|&lt;6为关注范围，|K|≥6为预警范围。</w:t>
      </w:r>
    </w:p>
    <w:p w14:paraId="52D2F13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容错设计</w:t>
      </w:r>
      <w:r>
        <w:rPr>
          <w:rFonts w:ascii="宋体" w:hAnsi="宋体"/>
          <w:b w:val="0"/>
          <w:i w:val="0"/>
          <w:color w:val="000000"/>
          <w:sz w:val="24"/>
        </w:rPr>
        <w:t>：YOLOv8不可用时自动降级为Haar Cascade级联分类器；引擎整体不可用时自动降级为随机stub，不影响系统其余部分的正常运行。</w:t>
      </w:r>
    </w:p>
    <w:p w14:paraId="6D14B7D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2.2.3 双模态融合策略</w:t>
      </w:r>
    </w:p>
    <w:p w14:paraId="39E5C73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采用</w:t>
      </w:r>
      <w:r>
        <w:rPr>
          <w:rFonts w:ascii="宋体" w:hAnsi="宋体"/>
          <w:b/>
          <w:i w:val="0"/>
          <w:color w:val="000000"/>
          <w:sz w:val="24"/>
        </w:rPr>
        <w:t>决策层加权融合</w:t>
      </w:r>
      <w:r>
        <w:rPr>
          <w:rFonts w:ascii="宋体" w:hAnsi="宋体"/>
          <w:b w:val="0"/>
          <w:i w:val="0"/>
          <w:color w:val="000000"/>
          <w:sz w:val="24"/>
        </w:rPr>
        <w:t>策略：</w:t>
      </w:r>
    </w:p>
    <w:p w14:paraId="58D73DB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Valence_fused = 0.6 × Valence_facial + 0.4 × Valence_vestibular</w:t>
      </w:r>
    </w:p>
    <w:p w14:paraId="315AA713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Arousal_fused = 0.6 × Arousal_facial + 0.4 × Arousal_vestibular</w:t>
      </w:r>
    </w:p>
    <w:p w14:paraId="26B4138A"/>
    <w:p w14:paraId="2C88D71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面部模态权重0.6、前庭模态权重0.4的设定基于以下考虑：面部表情属于有意识表达，与情绪的关联更直接；前庭振动属于无意识生理反应，受自主神经系统调控，具有更好的客观性。当双模态置信度差异超过35%时，系统自动触发复核流程。</w:t>
      </w:r>
    </w:p>
    <w:p w14:paraId="3012D094">
      <w:pPr>
        <w:pStyle w:val="5"/>
      </w:pPr>
      <w:r>
        <w:rPr>
          <w:rFonts w:ascii="黑体" w:hAnsi="黑体"/>
          <w:color w:val="000000"/>
        </w:rPr>
        <w:t>2.3 多智能体协作系统</w:t>
      </w:r>
    </w:p>
    <w:p w14:paraId="606B3FD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多智能体系统是本项目的核心架构创新。系统设计了5个专业智能体，每个智能体由灵枢 Lingshu-32B 医疗大模型驱动，遵循ReAct（Reasoning + Acting）模式独立运行，由协调智能体统一调度。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376"/>
      </w:tblGrid>
      <w:tr w14:paraId="74E2C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8A1EF8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编号</w:t>
            </w:r>
          </w:p>
        </w:tc>
        <w:tc>
          <w:tcPr>
            <w:tcW w:w="2160" w:type="dxa"/>
          </w:tcPr>
          <w:p w14:paraId="2084392F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智能体</w:t>
            </w:r>
          </w:p>
        </w:tc>
        <w:tc>
          <w:tcPr>
            <w:tcW w:w="2160" w:type="dxa"/>
          </w:tcPr>
          <w:p w14:paraId="4557FE3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核心职责</w:t>
            </w:r>
          </w:p>
        </w:tc>
        <w:tc>
          <w:tcPr>
            <w:tcW w:w="2160" w:type="dxa"/>
          </w:tcPr>
          <w:p w14:paraId="1D12BB9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绑定工具</w:t>
            </w:r>
          </w:p>
        </w:tc>
      </w:tr>
      <w:tr w14:paraId="0E2F7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B5271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</w:t>
            </w:r>
          </w:p>
        </w:tc>
        <w:tc>
          <w:tcPr>
            <w:tcW w:w="2160" w:type="dxa"/>
          </w:tcPr>
          <w:p w14:paraId="7456E9F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👁️ 感知智能体</w:t>
            </w:r>
          </w:p>
        </w:tc>
        <w:tc>
          <w:tcPr>
            <w:tcW w:w="2160" w:type="dxa"/>
          </w:tcPr>
          <w:p w14:paraId="67CEA8E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双模态情绪识别与融合</w:t>
            </w:r>
          </w:p>
        </w:tc>
        <w:tc>
          <w:tcPr>
            <w:tcW w:w="2160" w:type="dxa"/>
          </w:tcPr>
          <w:p w14:paraId="2B023E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EmotionRecognitionTool</w:t>
            </w:r>
          </w:p>
        </w:tc>
      </w:tr>
      <w:tr w14:paraId="30A17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44B8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</w:t>
            </w:r>
          </w:p>
        </w:tc>
        <w:tc>
          <w:tcPr>
            <w:tcW w:w="2160" w:type="dxa"/>
          </w:tcPr>
          <w:p w14:paraId="7BAEE7E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🧠 分析智能体</w:t>
            </w:r>
          </w:p>
        </w:tc>
        <w:tc>
          <w:tcPr>
            <w:tcW w:w="2160" w:type="dxa"/>
          </w:tcPr>
          <w:p w14:paraId="341864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12项心理指标 + 风险判定</w:t>
            </w:r>
          </w:p>
        </w:tc>
        <w:tc>
          <w:tcPr>
            <w:tcW w:w="2160" w:type="dxa"/>
          </w:tcPr>
          <w:p w14:paraId="679D4F5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MentalHealthAnalysisTool</w:t>
            </w:r>
          </w:p>
        </w:tc>
      </w:tr>
      <w:tr w14:paraId="3041A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81C7E5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</w:t>
            </w:r>
          </w:p>
        </w:tc>
        <w:tc>
          <w:tcPr>
            <w:tcW w:w="2160" w:type="dxa"/>
          </w:tcPr>
          <w:p w14:paraId="53A81F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✨ AIGC报告智能体</w:t>
            </w:r>
          </w:p>
        </w:tc>
        <w:tc>
          <w:tcPr>
            <w:tcW w:w="2160" w:type="dxa"/>
          </w:tcPr>
          <w:p w14:paraId="4BB1837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心理报告/干预方案/沟通函/叙事</w:t>
            </w:r>
          </w:p>
        </w:tc>
        <w:tc>
          <w:tcPr>
            <w:tcW w:w="2160" w:type="dxa"/>
          </w:tcPr>
          <w:p w14:paraId="1AD2E0F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4个AIGC生成器</w:t>
            </w:r>
          </w:p>
        </w:tc>
      </w:tr>
      <w:tr w14:paraId="3236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52892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</w:t>
            </w:r>
          </w:p>
        </w:tc>
        <w:tc>
          <w:tcPr>
            <w:tcW w:w="2160" w:type="dxa"/>
          </w:tcPr>
          <w:p w14:paraId="56CDDD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🔔 预警智能体</w:t>
            </w:r>
          </w:p>
        </w:tc>
        <w:tc>
          <w:tcPr>
            <w:tcW w:w="2160" w:type="dxa"/>
          </w:tcPr>
          <w:p w14:paraId="0A514D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三级预警 + 7渠道反馈</w:t>
            </w:r>
          </w:p>
        </w:tc>
        <w:tc>
          <w:tcPr>
            <w:tcW w:w="2160" w:type="dxa"/>
          </w:tcPr>
          <w:p w14:paraId="61F18DD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MultiChannelFeedbackTool</w:t>
            </w:r>
          </w:p>
        </w:tc>
      </w:tr>
      <w:tr w14:paraId="7F32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5E9C64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</w:t>
            </w:r>
          </w:p>
        </w:tc>
        <w:tc>
          <w:tcPr>
            <w:tcW w:w="2160" w:type="dxa"/>
          </w:tcPr>
          <w:p w14:paraId="57DA42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🎯 协调智能体</w:t>
            </w:r>
          </w:p>
        </w:tc>
        <w:tc>
          <w:tcPr>
            <w:tcW w:w="2160" w:type="dxa"/>
          </w:tcPr>
          <w:p w14:paraId="60A188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多Agent调度 + SSE推送</w:t>
            </w:r>
          </w:p>
        </w:tc>
        <w:tc>
          <w:tcPr>
            <w:tcW w:w="2160" w:type="dxa"/>
          </w:tcPr>
          <w:p w14:paraId="15ACEB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</w:tbl>
    <w:p w14:paraId="3953820B"/>
    <w:p w14:paraId="040365B0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表2.2 多智能体分工表</w:t>
      </w:r>
    </w:p>
    <w:p w14:paraId="5C07B4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2.3.1 内环流程（实时情绪感知）</w:t>
      </w:r>
    </w:p>
    <w:p w14:paraId="4C92E3E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内环由LangGraph状态机驱动，触发方式包括：定时调度（每15分钟）、手动上传视频/图片、API调用。流程包含3个图节点：</w:t>
      </w:r>
    </w:p>
    <w:p w14:paraId="401AB0E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采集节点(collect)</w:t>
      </w:r>
      <w:r>
        <w:rPr>
          <w:rFonts w:ascii="宋体" w:hAnsi="宋体"/>
          <w:b w:val="0"/>
          <w:i w:val="0"/>
          <w:color w:val="000000"/>
          <w:sz w:val="24"/>
        </w:rPr>
        <w:t>：从摄像头/上传文件获取视频流数据</w:t>
      </w:r>
    </w:p>
    <w:p w14:paraId="3177FE1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识别节点(recognize)</w:t>
      </w:r>
      <w:r>
        <w:rPr>
          <w:rFonts w:ascii="宋体" w:hAnsi="宋体"/>
          <w:b w:val="0"/>
          <w:i w:val="0"/>
          <w:color w:val="000000"/>
          <w:sz w:val="24"/>
        </w:rPr>
        <w:t>：调用感知智能体执行双模态情绪识别</w:t>
      </w:r>
    </w:p>
    <w:p w14:paraId="1F2731F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存储节点(store)</w:t>
      </w:r>
      <w:r>
        <w:rPr>
          <w:rFonts w:ascii="宋体" w:hAnsi="宋体"/>
          <w:b w:val="0"/>
          <w:i w:val="0"/>
          <w:color w:val="000000"/>
          <w:sz w:val="24"/>
        </w:rPr>
        <w:t>：将识别结果（含E1-E12参数和K值）持久化至数据库和OBS云端</w:t>
      </w:r>
    </w:p>
    <w:p w14:paraId="42C78E3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2.3.2 外环流程（每日深度分析 + AIGC）</w:t>
      </w:r>
    </w:p>
    <w:p w14:paraId="0B34DF2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外环每日22:00自动触发（APScheduler定时），也可手动触发。流程包含4个图节点：</w:t>
      </w:r>
    </w:p>
    <w:p w14:paraId="5F2C729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聚合节点(aggregate)</w:t>
      </w:r>
      <w:r>
        <w:rPr>
          <w:rFonts w:ascii="宋体" w:hAnsi="宋体"/>
          <w:b w:val="0"/>
          <w:i w:val="0"/>
          <w:color w:val="000000"/>
          <w:sz w:val="24"/>
        </w:rPr>
        <w:t>：拉取学生近7天情绪时序数据，构建时序矩阵</w:t>
      </w:r>
    </w:p>
    <w:p w14:paraId="11608CC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分析节点(analyze)</w:t>
      </w:r>
      <w:r>
        <w:rPr>
          <w:rFonts w:ascii="宋体" w:hAnsi="宋体"/>
          <w:b w:val="0"/>
          <w:i w:val="0"/>
          <w:color w:val="000000"/>
          <w:sz w:val="24"/>
        </w:rPr>
        <w:t>：调用分析智能体，计算12项心理健康指标，运行LSTM-Transformer混合模型进行深度分析</w:t>
      </w:r>
    </w:p>
    <w:p w14:paraId="50826B5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预警节点(alert)</w:t>
      </w:r>
      <w:r>
        <w:rPr>
          <w:rFonts w:ascii="宋体" w:hAnsi="宋体"/>
          <w:b w:val="0"/>
          <w:i w:val="0"/>
          <w:color w:val="000000"/>
          <w:sz w:val="24"/>
        </w:rPr>
        <w:t>：调用预警智能体，根据风险等级执行分级反馈</w:t>
      </w:r>
    </w:p>
    <w:p w14:paraId="6EFA413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反馈节点(feedback)</w:t>
      </w:r>
      <w:r>
        <w:rPr>
          <w:rFonts w:ascii="宋体" w:hAnsi="宋体"/>
          <w:b w:val="0"/>
          <w:i w:val="0"/>
          <w:color w:val="000000"/>
          <w:sz w:val="24"/>
        </w:rPr>
        <w:t>：调用多渠道反馈工具，完成通知发送</w:t>
      </w:r>
    </w:p>
    <w:p w14:paraId="44EE6B42">
      <w:pPr>
        <w:pStyle w:val="5"/>
      </w:pPr>
      <w:r>
        <w:rPr>
          <w:rFonts w:ascii="黑体" w:hAnsi="黑体"/>
          <w:color w:val="000000"/>
        </w:rPr>
        <w:t>2.4 12项心理健康指标体系</w:t>
      </w:r>
    </w:p>
    <w:p w14:paraId="183C016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分析智能体依赖MentalHealthAnalysisTool实现12项指标的量化计算：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76"/>
        <w:gridCol w:w="1440"/>
        <w:gridCol w:w="1440"/>
        <w:gridCol w:w="1440"/>
      </w:tblGrid>
      <w:tr w14:paraId="4E93C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C4DA9A5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编号</w:t>
            </w:r>
          </w:p>
        </w:tc>
        <w:tc>
          <w:tcPr>
            <w:tcW w:w="1440" w:type="dxa"/>
          </w:tcPr>
          <w:p w14:paraId="66BE68C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指标名称</w:t>
            </w:r>
          </w:p>
        </w:tc>
        <w:tc>
          <w:tcPr>
            <w:tcW w:w="1440" w:type="dxa"/>
          </w:tcPr>
          <w:p w14:paraId="49E94B1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计算方法</w:t>
            </w:r>
          </w:p>
        </w:tc>
        <w:tc>
          <w:tcPr>
            <w:tcW w:w="1440" w:type="dxa"/>
          </w:tcPr>
          <w:p w14:paraId="4309403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含义</w:t>
            </w:r>
          </w:p>
        </w:tc>
        <w:tc>
          <w:tcPr>
            <w:tcW w:w="1440" w:type="dxa"/>
          </w:tcPr>
          <w:p w14:paraId="63012EEF">
            <w:pPr>
              <w:spacing w:after="0" w:line="240" w:lineRule="auto"/>
              <w:jc w:val="center"/>
            </w:pPr>
          </w:p>
        </w:tc>
        <w:tc>
          <w:tcPr>
            <w:tcW w:w="1440" w:type="dxa"/>
          </w:tcPr>
          <w:p w14:paraId="16F64A93">
            <w:pPr>
              <w:spacing w:after="0" w:line="240" w:lineRule="auto"/>
              <w:jc w:val="center"/>
            </w:pPr>
          </w:p>
        </w:tc>
      </w:tr>
      <w:tr w14:paraId="64044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4A807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</w:t>
            </w:r>
          </w:p>
        </w:tc>
        <w:tc>
          <w:tcPr>
            <w:tcW w:w="1440" w:type="dxa"/>
          </w:tcPr>
          <w:p w14:paraId="0AFC1B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情绪稳定性指数</w:t>
            </w:r>
          </w:p>
        </w:tc>
        <w:tc>
          <w:tcPr>
            <w:tcW w:w="1440" w:type="dxa"/>
          </w:tcPr>
          <w:p w14:paraId="578860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1 - sqrt(variance) × 2</w:t>
            </w:r>
          </w:p>
        </w:tc>
        <w:tc>
          <w:tcPr>
            <w:tcW w:w="1440" w:type="dxa"/>
          </w:tcPr>
          <w:p w14:paraId="52387D3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情绪波动的稳定程度</w:t>
            </w:r>
          </w:p>
        </w:tc>
        <w:tc>
          <w:tcPr>
            <w:tcW w:w="1440" w:type="dxa"/>
          </w:tcPr>
          <w:p w14:paraId="456C6819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30437240">
            <w:pPr>
              <w:spacing w:after="0" w:line="240" w:lineRule="auto"/>
              <w:jc w:val="left"/>
            </w:pPr>
          </w:p>
        </w:tc>
      </w:tr>
      <w:tr w14:paraId="3D0CE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40" w:type="dxa"/>
          </w:tcPr>
          <w:p w14:paraId="730915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</w:t>
            </w:r>
          </w:p>
        </w:tc>
        <w:tc>
          <w:tcPr>
            <w:tcW w:w="1440" w:type="dxa"/>
          </w:tcPr>
          <w:p w14:paraId="11B856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情绪波动熵值</w:t>
            </w:r>
          </w:p>
        </w:tc>
        <w:tc>
          <w:tcPr>
            <w:tcW w:w="1440" w:type="dxa"/>
          </w:tcPr>
          <w:p w14:paraId="7CF77BB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Shannon熵（5区间离散化）</w:t>
            </w:r>
          </w:p>
        </w:tc>
        <w:tc>
          <w:tcPr>
            <w:tcW w:w="1440" w:type="dxa"/>
          </w:tcPr>
          <w:p w14:paraId="1EF2E8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情绪状态多样性</w:t>
            </w:r>
          </w:p>
        </w:tc>
        <w:tc>
          <w:tcPr>
            <w:tcW w:w="1440" w:type="dxa"/>
          </w:tcPr>
          <w:p w14:paraId="373FA3FC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156B8DBA">
            <w:pPr>
              <w:spacing w:after="0" w:line="240" w:lineRule="auto"/>
              <w:jc w:val="left"/>
            </w:pPr>
          </w:p>
        </w:tc>
      </w:tr>
      <w:tr w14:paraId="2F432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AFC5CA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</w:t>
            </w:r>
          </w:p>
        </w:tc>
        <w:tc>
          <w:tcPr>
            <w:tcW w:w="1440" w:type="dxa"/>
          </w:tcPr>
          <w:p w14:paraId="526133C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负面情绪累积度</w:t>
            </w:r>
          </w:p>
        </w:tc>
        <w:tc>
          <w:tcPr>
            <w:tcW w:w="1440" w:type="dxa"/>
          </w:tcPr>
          <w:p w14:paraId="183EDD8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负面情绪占比 × 1.5</w:t>
            </w:r>
          </w:p>
        </w:tc>
        <w:tc>
          <w:tcPr>
            <w:tcW w:w="1440" w:type="dxa"/>
          </w:tcPr>
          <w:p w14:paraId="5F9B54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负面情绪持续程度</w:t>
            </w:r>
          </w:p>
        </w:tc>
        <w:tc>
          <w:tcPr>
            <w:tcW w:w="1440" w:type="dxa"/>
          </w:tcPr>
          <w:p w14:paraId="1956DFD0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0660D011">
            <w:pPr>
              <w:spacing w:after="0" w:line="240" w:lineRule="auto"/>
              <w:jc w:val="left"/>
            </w:pPr>
          </w:p>
        </w:tc>
      </w:tr>
      <w:tr w14:paraId="585EC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150276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</w:t>
            </w:r>
          </w:p>
        </w:tc>
        <w:tc>
          <w:tcPr>
            <w:tcW w:w="1440" w:type="dxa"/>
          </w:tcPr>
          <w:p w14:paraId="54BB245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社交互动频次</w:t>
            </w:r>
          </w:p>
        </w:tc>
        <w:tc>
          <w:tcPr>
            <w:tcW w:w="1440" w:type="dxa"/>
          </w:tcPr>
          <w:p w14:paraId="5DC36E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记录密度/10</w:t>
            </w:r>
          </w:p>
        </w:tc>
        <w:tc>
          <w:tcPr>
            <w:tcW w:w="1440" w:type="dxa"/>
          </w:tcPr>
          <w:p w14:paraId="4FB5898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社交活跃程度</w:t>
            </w:r>
          </w:p>
        </w:tc>
        <w:tc>
          <w:tcPr>
            <w:tcW w:w="1440" w:type="dxa"/>
          </w:tcPr>
          <w:p w14:paraId="5AC3B00E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E695488">
            <w:pPr>
              <w:spacing w:after="0" w:line="240" w:lineRule="auto"/>
              <w:jc w:val="left"/>
            </w:pPr>
          </w:p>
        </w:tc>
      </w:tr>
      <w:tr w14:paraId="34831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3C31C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</w:t>
            </w:r>
          </w:p>
        </w:tc>
        <w:tc>
          <w:tcPr>
            <w:tcW w:w="1440" w:type="dxa"/>
          </w:tcPr>
          <w:p w14:paraId="1F1CC10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日间情绪趋势</w:t>
            </w:r>
          </w:p>
        </w:tc>
        <w:tc>
          <w:tcPr>
            <w:tcW w:w="1440" w:type="dxa"/>
          </w:tcPr>
          <w:p w14:paraId="37F6920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线性回归斜率</w:t>
            </w:r>
          </w:p>
        </w:tc>
        <w:tc>
          <w:tcPr>
            <w:tcW w:w="1440" w:type="dxa"/>
          </w:tcPr>
          <w:p w14:paraId="4B6269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情绪走向方向</w:t>
            </w:r>
          </w:p>
        </w:tc>
        <w:tc>
          <w:tcPr>
            <w:tcW w:w="1440" w:type="dxa"/>
          </w:tcPr>
          <w:p w14:paraId="333E7D10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37BCEF2">
            <w:pPr>
              <w:spacing w:after="0" w:line="240" w:lineRule="auto"/>
              <w:jc w:val="left"/>
            </w:pPr>
          </w:p>
        </w:tc>
      </w:tr>
      <w:tr w14:paraId="0AED9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B35F0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6</w:t>
            </w:r>
          </w:p>
        </w:tc>
        <w:tc>
          <w:tcPr>
            <w:tcW w:w="1440" w:type="dxa"/>
          </w:tcPr>
          <w:p w14:paraId="4012C55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唤醒度异常指数</w:t>
            </w:r>
          </w:p>
        </w:tc>
        <w:tc>
          <w:tcPr>
            <w:tcW w:w="1440" w:type="dxa"/>
          </w:tcPr>
          <w:p w14:paraId="528B7E9D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0AC9A4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avg_arousal</w:t>
            </w:r>
          </w:p>
        </w:tc>
        <w:tc>
          <w:tcPr>
            <w:tcW w:w="1440" w:type="dxa"/>
          </w:tcPr>
          <w:p w14:paraId="16E7F219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7E4180F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生理唤醒水平</w:t>
            </w:r>
          </w:p>
        </w:tc>
      </w:tr>
      <w:tr w14:paraId="18718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441E4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7</w:t>
            </w:r>
          </w:p>
        </w:tc>
        <w:tc>
          <w:tcPr>
            <w:tcW w:w="1440" w:type="dxa"/>
          </w:tcPr>
          <w:p w14:paraId="02EE13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情绪恢复速度</w:t>
            </w:r>
          </w:p>
        </w:tc>
        <w:tc>
          <w:tcPr>
            <w:tcW w:w="1440" w:type="dxa"/>
          </w:tcPr>
          <w:p w14:paraId="2302FBE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负→正转换次数/可能最大</w:t>
            </w:r>
          </w:p>
        </w:tc>
        <w:tc>
          <w:tcPr>
            <w:tcW w:w="1440" w:type="dxa"/>
          </w:tcPr>
          <w:p w14:paraId="14603C7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心理韧性指标</w:t>
            </w:r>
          </w:p>
        </w:tc>
        <w:tc>
          <w:tcPr>
            <w:tcW w:w="1440" w:type="dxa"/>
          </w:tcPr>
          <w:p w14:paraId="0047B072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DC5C010">
            <w:pPr>
              <w:spacing w:after="0" w:line="240" w:lineRule="auto"/>
              <w:jc w:val="left"/>
            </w:pPr>
          </w:p>
        </w:tc>
      </w:tr>
      <w:tr w14:paraId="76AD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64993D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8</w:t>
            </w:r>
          </w:p>
        </w:tc>
        <w:tc>
          <w:tcPr>
            <w:tcW w:w="1440" w:type="dxa"/>
          </w:tcPr>
          <w:p w14:paraId="1E0AC22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睡眠质量预测</w:t>
            </w:r>
          </w:p>
        </w:tc>
        <w:tc>
          <w:tcPr>
            <w:tcW w:w="1440" w:type="dxa"/>
          </w:tcPr>
          <w:p w14:paraId="7B2DDEF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模拟指标</w:t>
            </w:r>
          </w:p>
        </w:tc>
        <w:tc>
          <w:tcPr>
            <w:tcW w:w="1440" w:type="dxa"/>
          </w:tcPr>
          <w:p w14:paraId="4588F70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睡眠质量估算</w:t>
            </w:r>
          </w:p>
        </w:tc>
        <w:tc>
          <w:tcPr>
            <w:tcW w:w="1440" w:type="dxa"/>
          </w:tcPr>
          <w:p w14:paraId="2E0839EE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D8B0CD6">
            <w:pPr>
              <w:spacing w:after="0" w:line="240" w:lineRule="auto"/>
              <w:jc w:val="left"/>
            </w:pPr>
          </w:p>
        </w:tc>
      </w:tr>
      <w:tr w14:paraId="682E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D9729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9</w:t>
            </w:r>
          </w:p>
        </w:tc>
        <w:tc>
          <w:tcPr>
            <w:tcW w:w="1440" w:type="dxa"/>
          </w:tcPr>
          <w:p w14:paraId="2253C3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压力累积指数</w:t>
            </w:r>
          </w:p>
        </w:tc>
        <w:tc>
          <w:tcPr>
            <w:tcW w:w="1440" w:type="dxa"/>
          </w:tcPr>
          <w:p w14:paraId="26F0A8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负面累积度 × 1.2</w:t>
            </w:r>
          </w:p>
        </w:tc>
        <w:tc>
          <w:tcPr>
            <w:tcW w:w="1440" w:type="dxa"/>
          </w:tcPr>
          <w:p w14:paraId="0B3223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压力累积程度</w:t>
            </w:r>
          </w:p>
        </w:tc>
        <w:tc>
          <w:tcPr>
            <w:tcW w:w="1440" w:type="dxa"/>
          </w:tcPr>
          <w:p w14:paraId="54559AAA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E2C155C">
            <w:pPr>
              <w:spacing w:after="0" w:line="240" w:lineRule="auto"/>
              <w:jc w:val="left"/>
            </w:pPr>
          </w:p>
        </w:tc>
      </w:tr>
      <w:tr w14:paraId="2EC15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57F11B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</w:t>
            </w:r>
          </w:p>
        </w:tc>
        <w:tc>
          <w:tcPr>
            <w:tcW w:w="1440" w:type="dxa"/>
          </w:tcPr>
          <w:p w14:paraId="2A31AF7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积极情绪占比</w:t>
            </w:r>
          </w:p>
        </w:tc>
        <w:tc>
          <w:tcPr>
            <w:tcW w:w="1440" w:type="dxa"/>
          </w:tcPr>
          <w:p w14:paraId="410598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积极情绪记录数/总记录数</w:t>
            </w:r>
          </w:p>
        </w:tc>
        <w:tc>
          <w:tcPr>
            <w:tcW w:w="1440" w:type="dxa"/>
          </w:tcPr>
          <w:p w14:paraId="0452AD1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正向情绪频率</w:t>
            </w:r>
          </w:p>
        </w:tc>
        <w:tc>
          <w:tcPr>
            <w:tcW w:w="1440" w:type="dxa"/>
          </w:tcPr>
          <w:p w14:paraId="32C04B62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7537E999">
            <w:pPr>
              <w:spacing w:after="0" w:line="240" w:lineRule="auto"/>
              <w:jc w:val="left"/>
            </w:pPr>
          </w:p>
        </w:tc>
      </w:tr>
      <w:tr w14:paraId="4894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4FF885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11</w:t>
            </w:r>
          </w:p>
        </w:tc>
        <w:tc>
          <w:tcPr>
            <w:tcW w:w="1440" w:type="dxa"/>
          </w:tcPr>
          <w:p w14:paraId="31E6754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情绪突变检测</w:t>
            </w:r>
          </w:p>
        </w:tc>
        <w:tc>
          <w:tcPr>
            <w:tcW w:w="1440" w:type="dxa"/>
          </w:tcPr>
          <w:p w14:paraId="51EC023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分数变化&gt;30%的次数</w:t>
            </w:r>
          </w:p>
        </w:tc>
        <w:tc>
          <w:tcPr>
            <w:tcW w:w="1440" w:type="dxa"/>
          </w:tcPr>
          <w:p w14:paraId="0D3332C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情绪稳定性异常</w:t>
            </w:r>
          </w:p>
        </w:tc>
        <w:tc>
          <w:tcPr>
            <w:tcW w:w="1440" w:type="dxa"/>
          </w:tcPr>
          <w:p w14:paraId="2E295928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CDC6124">
            <w:pPr>
              <w:spacing w:after="0" w:line="240" w:lineRule="auto"/>
              <w:jc w:val="left"/>
            </w:pPr>
          </w:p>
        </w:tc>
      </w:tr>
      <w:tr w14:paraId="3FD5C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836EE5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12</w:t>
            </w:r>
          </w:p>
        </w:tc>
        <w:tc>
          <w:tcPr>
            <w:tcW w:w="1440" w:type="dxa"/>
          </w:tcPr>
          <w:p w14:paraId="5D59194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综合心理健康评分</w:t>
            </w:r>
          </w:p>
        </w:tc>
        <w:tc>
          <w:tcPr>
            <w:tcW w:w="1440" w:type="dxa"/>
          </w:tcPr>
          <w:p w14:paraId="616A055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加权计算（5因子）</w:t>
            </w:r>
          </w:p>
        </w:tc>
        <w:tc>
          <w:tcPr>
            <w:tcW w:w="1440" w:type="dxa"/>
          </w:tcPr>
          <w:p w14:paraId="2F2D1C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整体心理健康状况</w:t>
            </w:r>
          </w:p>
        </w:tc>
        <w:tc>
          <w:tcPr>
            <w:tcW w:w="1440" w:type="dxa"/>
          </w:tcPr>
          <w:p w14:paraId="6BC1FF28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9CBC5A6">
            <w:pPr>
              <w:spacing w:after="0" w:line="240" w:lineRule="auto"/>
              <w:jc w:val="left"/>
            </w:pPr>
          </w:p>
        </w:tc>
      </w:tr>
    </w:tbl>
    <w:p w14:paraId="47E33347"/>
    <w:p w14:paraId="7A2FEC0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表2.3 12项心理健康指标</w:t>
      </w:r>
    </w:p>
    <w:p w14:paraId="0F74E12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综合评分的加权公式：Score = Stability×0.25 + (1-NegativeAcc)×0.20 + (Trend+0.5)×0.15 + Recovery×0.20 + PositiveRatio×0.20</w:t>
      </w:r>
    </w:p>
    <w:p w14:paraId="67FD7FC7">
      <w:pPr>
        <w:pStyle w:val="5"/>
      </w:pPr>
      <w:r>
        <w:rPr>
          <w:rFonts w:ascii="黑体" w:hAnsi="黑体"/>
          <w:color w:val="000000"/>
        </w:rPr>
        <w:t>2.5 AIGC内容生成引擎</w:t>
      </w:r>
    </w:p>
    <w:p w14:paraId="74C4721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AIGC引擎由灵枢 Lingshu-32B 医疗大模型驱动，采用"模板骨架 + LLM内容填充"的架构，在保证输出结构可控的前提下，充分利用大模型的自然语言生成能力。包含4个专业生成器：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E9BD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6611F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生成器</w:t>
            </w:r>
          </w:p>
        </w:tc>
        <w:tc>
          <w:tcPr>
            <w:tcW w:w="2160" w:type="dxa"/>
          </w:tcPr>
          <w:p w14:paraId="14FF00E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输出类型</w:t>
            </w:r>
          </w:p>
        </w:tc>
        <w:tc>
          <w:tcPr>
            <w:tcW w:w="2160" w:type="dxa"/>
          </w:tcPr>
          <w:p w14:paraId="4EFDCE4F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触发条件</w:t>
            </w:r>
          </w:p>
        </w:tc>
        <w:tc>
          <w:tcPr>
            <w:tcW w:w="2160" w:type="dxa"/>
          </w:tcPr>
          <w:p w14:paraId="51139AE8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应用场景</w:t>
            </w:r>
          </w:p>
        </w:tc>
      </w:tr>
      <w:tr w14:paraId="06BB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A7715C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ReportGenerator</w:t>
            </w:r>
          </w:p>
        </w:tc>
        <w:tc>
          <w:tcPr>
            <w:tcW w:w="2160" w:type="dxa"/>
          </w:tcPr>
          <w:p w14:paraId="0AD740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心理评估日报/周报</w:t>
            </w:r>
          </w:p>
        </w:tc>
        <w:tc>
          <w:tcPr>
            <w:tcW w:w="2160" w:type="dxa"/>
          </w:tcPr>
          <w:p w14:paraId="3EB1A7E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每日自动/周度汇总</w:t>
            </w:r>
          </w:p>
        </w:tc>
        <w:tc>
          <w:tcPr>
            <w:tcW w:w="2160" w:type="dxa"/>
          </w:tcPr>
          <w:p w14:paraId="56450DE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心理教师日常管理</w:t>
            </w:r>
          </w:p>
        </w:tc>
      </w:tr>
      <w:tr w14:paraId="70F65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C601ED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PlanGenerator</w:t>
            </w:r>
          </w:p>
        </w:tc>
        <w:tc>
          <w:tcPr>
            <w:tcW w:w="2160" w:type="dxa"/>
          </w:tcPr>
          <w:p w14:paraId="387641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个性化干预方案</w:t>
            </w:r>
          </w:p>
        </w:tc>
        <w:tc>
          <w:tcPr>
            <w:tcW w:w="2160" w:type="dxa"/>
          </w:tcPr>
          <w:p w14:paraId="2A83A15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黄/红色预警触发</w:t>
            </w:r>
          </w:p>
        </w:tc>
        <w:tc>
          <w:tcPr>
            <w:tcW w:w="2160" w:type="dxa"/>
          </w:tcPr>
          <w:p w14:paraId="37D66C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心理教师制定干预策略</w:t>
            </w:r>
          </w:p>
        </w:tc>
      </w:tr>
      <w:tr w14:paraId="5925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D391B4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LetterGenerator</w:t>
            </w:r>
          </w:p>
        </w:tc>
        <w:tc>
          <w:tcPr>
            <w:tcW w:w="2160" w:type="dxa"/>
          </w:tcPr>
          <w:p w14:paraId="23A8C92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家校沟通函（三级措辞）</w:t>
            </w:r>
          </w:p>
        </w:tc>
        <w:tc>
          <w:tcPr>
            <w:tcW w:w="2160" w:type="dxa"/>
          </w:tcPr>
          <w:p w14:paraId="5EE7C4C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绿/黄/红各级</w:t>
            </w:r>
          </w:p>
        </w:tc>
        <w:tc>
          <w:tcPr>
            <w:tcW w:w="2160" w:type="dxa"/>
          </w:tcPr>
          <w:p w14:paraId="1826D56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教师向家长反馈</w:t>
            </w:r>
          </w:p>
        </w:tc>
      </w:tr>
      <w:tr w14:paraId="38ADA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9AAE1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NarrativeGenerator</w:t>
            </w:r>
          </w:p>
        </w:tc>
        <w:tc>
          <w:tcPr>
            <w:tcW w:w="2160" w:type="dxa"/>
          </w:tcPr>
          <w:p w14:paraId="3E148E5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学生成长叙事</w:t>
            </w:r>
          </w:p>
        </w:tc>
        <w:tc>
          <w:tcPr>
            <w:tcW w:w="2160" w:type="dxa"/>
          </w:tcPr>
          <w:p w14:paraId="6E965C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学期末/请求触发</w:t>
            </w:r>
          </w:p>
        </w:tc>
        <w:tc>
          <w:tcPr>
            <w:tcW w:w="2160" w:type="dxa"/>
          </w:tcPr>
          <w:p w14:paraId="3D92A9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学生成长档案</w:t>
            </w:r>
          </w:p>
        </w:tc>
      </w:tr>
    </w:tbl>
    <w:p w14:paraId="2FB0A8C9"/>
    <w:p w14:paraId="72B0795C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表2.4 AIGC生成器</w:t>
      </w:r>
    </w:p>
    <w:p w14:paraId="03BC80A5">
      <w:pPr>
        <w:pStyle w:val="5"/>
      </w:pPr>
      <w:r>
        <w:rPr>
          <w:rFonts w:ascii="黑体" w:hAnsi="黑体"/>
          <w:color w:val="000000"/>
        </w:rPr>
        <w:t>2.6 三级预警与多渠道反馈</w:t>
      </w:r>
    </w:p>
    <w:p w14:paraId="58DADEA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系统建立了完整的分级预警与反馈体系：</w:t>
      </w:r>
    </w:p>
    <w:p w14:paraId="15B8534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预警等级判定规则：</w:t>
      </w:r>
    </w:p>
    <w:p w14:paraId="0FF1BE7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🟢 </w:t>
      </w:r>
      <w:r>
        <w:rPr>
          <w:rFonts w:ascii="宋体" w:hAnsi="宋体"/>
          <w:b/>
          <w:i w:val="0"/>
          <w:color w:val="000000"/>
          <w:sz w:val="24"/>
        </w:rPr>
        <w:t>绿色（正常）</w:t>
      </w:r>
      <w:r>
        <w:rPr>
          <w:rFonts w:ascii="宋体" w:hAnsi="宋体"/>
          <w:b w:val="0"/>
          <w:i w:val="0"/>
          <w:color w:val="000000"/>
          <w:sz w:val="24"/>
        </w:rPr>
        <w:t>：综合评分 ≥ 0.7，无风险因素触发 → 看板 + APP推送</w:t>
      </w:r>
    </w:p>
    <w:p w14:paraId="7A70A1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🟡 </w:t>
      </w:r>
      <w:r>
        <w:rPr>
          <w:rFonts w:ascii="宋体" w:hAnsi="宋体"/>
          <w:b/>
          <w:i w:val="0"/>
          <w:color w:val="000000"/>
          <w:sz w:val="24"/>
        </w:rPr>
        <w:t>黄色（关注）</w:t>
      </w:r>
      <w:r>
        <w:rPr>
          <w:rFonts w:ascii="宋体" w:hAnsi="宋体"/>
          <w:b w:val="0"/>
          <w:i w:val="0"/>
          <w:color w:val="000000"/>
          <w:sz w:val="24"/>
        </w:rPr>
        <w:t>：综合评分 0.4-0.7，或1-3项黄色指标 → 绿色渠道 + 微信班主任通知</w:t>
      </w:r>
    </w:p>
    <w:p w14:paraId="5D9AB80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🔴 </w:t>
      </w:r>
      <w:r>
        <w:rPr>
          <w:rFonts w:ascii="宋体" w:hAnsi="宋体"/>
          <w:b/>
          <w:i w:val="0"/>
          <w:color w:val="000000"/>
          <w:sz w:val="24"/>
        </w:rPr>
        <w:t>红色（预警）</w:t>
      </w:r>
      <w:r>
        <w:rPr>
          <w:rFonts w:ascii="宋体" w:hAnsi="宋体"/>
          <w:b w:val="0"/>
          <w:i w:val="0"/>
          <w:color w:val="000000"/>
          <w:sz w:val="24"/>
        </w:rPr>
        <w:t>：综合评分 &lt; 0.4，或红色指标触发 → 全渠道（微信+短信+邮件+电话），自动生成P0紧急工单</w:t>
      </w:r>
    </w:p>
    <w:p w14:paraId="00576036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渠道策略：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14:paraId="454BF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678BD98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等级</w:t>
            </w:r>
          </w:p>
        </w:tc>
        <w:tc>
          <w:tcPr>
            <w:tcW w:w="1080" w:type="dxa"/>
          </w:tcPr>
          <w:p w14:paraId="73561D6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看板</w:t>
            </w:r>
          </w:p>
        </w:tc>
        <w:tc>
          <w:tcPr>
            <w:tcW w:w="1080" w:type="dxa"/>
          </w:tcPr>
          <w:p w14:paraId="50878227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APP</w:t>
            </w:r>
          </w:p>
        </w:tc>
        <w:tc>
          <w:tcPr>
            <w:tcW w:w="1080" w:type="dxa"/>
          </w:tcPr>
          <w:p w14:paraId="53A43F6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微信(班主任)</w:t>
            </w:r>
          </w:p>
        </w:tc>
        <w:tc>
          <w:tcPr>
            <w:tcW w:w="1080" w:type="dxa"/>
          </w:tcPr>
          <w:p w14:paraId="39F73BE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微信(家长)</w:t>
            </w:r>
          </w:p>
        </w:tc>
        <w:tc>
          <w:tcPr>
            <w:tcW w:w="1080" w:type="dxa"/>
          </w:tcPr>
          <w:p w14:paraId="71DCC4D7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短信(家长)</w:t>
            </w:r>
          </w:p>
        </w:tc>
        <w:tc>
          <w:tcPr>
            <w:tcW w:w="1080" w:type="dxa"/>
          </w:tcPr>
          <w:p w14:paraId="71EE81F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邮件(心理师)</w:t>
            </w:r>
          </w:p>
        </w:tc>
        <w:tc>
          <w:tcPr>
            <w:tcW w:w="1080" w:type="dxa"/>
          </w:tcPr>
          <w:p w14:paraId="0A7AE9B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紧急电话</w:t>
            </w:r>
          </w:p>
        </w:tc>
      </w:tr>
      <w:tr w14:paraId="4A03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50A9D4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绿色</w:t>
            </w:r>
          </w:p>
        </w:tc>
        <w:tc>
          <w:tcPr>
            <w:tcW w:w="1080" w:type="dxa"/>
          </w:tcPr>
          <w:p w14:paraId="42F4DB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52BA5DF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331D64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46D4A59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3DCE6C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2B30498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1441CC8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  <w:tr w14:paraId="48D64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7C50E69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黄色</w:t>
            </w:r>
          </w:p>
        </w:tc>
        <w:tc>
          <w:tcPr>
            <w:tcW w:w="1080" w:type="dxa"/>
          </w:tcPr>
          <w:p w14:paraId="3BFDD5E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0A10C3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FB7A7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D59E9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7D6A920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31FC0B7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5CA51E2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  <w:tr w14:paraId="6B90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35A5D18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红色</w:t>
            </w:r>
          </w:p>
        </w:tc>
        <w:tc>
          <w:tcPr>
            <w:tcW w:w="1080" w:type="dxa"/>
          </w:tcPr>
          <w:p w14:paraId="1677AD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362EC18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7C876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3DE29C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430C94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4ED030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2CF7EE9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</w:tr>
    </w:tbl>
    <w:p w14:paraId="4A958E10"/>
    <w:p w14:paraId="2B12FEC8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表2.5 分级渠道策略</w:t>
      </w:r>
    </w:p>
    <w:p w14:paraId="682B2940">
      <w:pPr>
        <w:pStyle w:val="5"/>
      </w:pPr>
      <w:r>
        <w:rPr>
          <w:rFonts w:ascii="黑体" w:hAnsi="黑体"/>
          <w:color w:val="000000"/>
        </w:rPr>
        <w:t>2.7 国产算力平台适配层</w:t>
      </w:r>
    </w:p>
    <w:p w14:paraId="405E800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平台适配层是本项目的创新点之一。通过抽象统一的LLM接口，实现多国产算力平台的无缝切换：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F53E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857B72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平台ID</w:t>
            </w:r>
          </w:p>
        </w:tc>
        <w:tc>
          <w:tcPr>
            <w:tcW w:w="1728" w:type="dxa"/>
          </w:tcPr>
          <w:p w14:paraId="06402BE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名称</w:t>
            </w:r>
          </w:p>
        </w:tc>
        <w:tc>
          <w:tcPr>
            <w:tcW w:w="1728" w:type="dxa"/>
          </w:tcPr>
          <w:p w14:paraId="1826AE9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GPU/提供商</w:t>
            </w:r>
          </w:p>
        </w:tc>
        <w:tc>
          <w:tcPr>
            <w:tcW w:w="1728" w:type="dxa"/>
          </w:tcPr>
          <w:p w14:paraId="5F9C5E6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角色</w:t>
            </w:r>
          </w:p>
        </w:tc>
        <w:tc>
          <w:tcPr>
            <w:tcW w:w="1728" w:type="dxa"/>
          </w:tcPr>
          <w:p w14:paraId="69FE7250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027E1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2BFA38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lingshu</w:t>
            </w:r>
          </w:p>
        </w:tc>
        <w:tc>
          <w:tcPr>
            <w:tcW w:w="1728" w:type="dxa"/>
          </w:tcPr>
          <w:p w14:paraId="4EBFAB4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灵枢 Lingshu-32B</w:t>
            </w:r>
          </w:p>
        </w:tc>
        <w:tc>
          <w:tcPr>
            <w:tcW w:w="1728" w:type="dxa"/>
          </w:tcPr>
          <w:p w14:paraId="773B2D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沐曦MetaX GPU（moark.com）</w:t>
            </w:r>
          </w:p>
        </w:tc>
        <w:tc>
          <w:tcPr>
            <w:tcW w:w="1728" w:type="dxa"/>
          </w:tcPr>
          <w:p w14:paraId="71DD1FB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★ 主平台</w:t>
            </w:r>
          </w:p>
        </w:tc>
        <w:tc>
          <w:tcPr>
            <w:tcW w:w="1728" w:type="dxa"/>
          </w:tcPr>
          <w:p w14:paraId="744935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32B医疗大模型</w:t>
            </w:r>
          </w:p>
        </w:tc>
      </w:tr>
      <w:tr w14:paraId="26AE9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B45192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gitee_ai</w:t>
            </w:r>
          </w:p>
        </w:tc>
        <w:tc>
          <w:tcPr>
            <w:tcW w:w="1728" w:type="dxa"/>
          </w:tcPr>
          <w:p w14:paraId="489B267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Gitee.AI</w:t>
            </w:r>
          </w:p>
        </w:tc>
        <w:tc>
          <w:tcPr>
            <w:tcW w:w="1728" w:type="dxa"/>
          </w:tcPr>
          <w:p w14:paraId="753B90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 MetaX GPU</w:t>
            </w:r>
          </w:p>
        </w:tc>
        <w:tc>
          <w:tcPr>
            <w:tcW w:w="1728" w:type="dxa"/>
          </w:tcPr>
          <w:p w14:paraId="12E7D8A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可选</w:t>
            </w:r>
          </w:p>
        </w:tc>
        <w:tc>
          <w:tcPr>
            <w:tcW w:w="1728" w:type="dxa"/>
          </w:tcPr>
          <w:p w14:paraId="449829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开源中国AI平台</w:t>
            </w:r>
          </w:p>
        </w:tc>
      </w:tr>
      <w:tr w14:paraId="10369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E670CE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deepseek</w:t>
            </w:r>
          </w:p>
        </w:tc>
        <w:tc>
          <w:tcPr>
            <w:tcW w:w="1728" w:type="dxa"/>
          </w:tcPr>
          <w:p w14:paraId="370DCD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DeepSeek</w:t>
            </w:r>
          </w:p>
        </w:tc>
        <w:tc>
          <w:tcPr>
            <w:tcW w:w="1728" w:type="dxa"/>
          </w:tcPr>
          <w:p w14:paraId="18380F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自研GPU</w:t>
            </w:r>
          </w:p>
        </w:tc>
        <w:tc>
          <w:tcPr>
            <w:tcW w:w="1728" w:type="dxa"/>
          </w:tcPr>
          <w:p w14:paraId="6492960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☆ 备用</w:t>
            </w:r>
          </w:p>
        </w:tc>
        <w:tc>
          <w:tcPr>
            <w:tcW w:w="1728" w:type="dxa"/>
          </w:tcPr>
          <w:p w14:paraId="1FE58F1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国产通用大模型</w:t>
            </w:r>
          </w:p>
        </w:tc>
      </w:tr>
      <w:tr w14:paraId="2FCF9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962A3E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local</w:t>
            </w:r>
          </w:p>
        </w:tc>
        <w:tc>
          <w:tcPr>
            <w:tcW w:w="1728" w:type="dxa"/>
          </w:tcPr>
          <w:p w14:paraId="60F8E5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本地模型</w:t>
            </w:r>
          </w:p>
        </w:tc>
        <w:tc>
          <w:tcPr>
            <w:tcW w:w="1728" w:type="dxa"/>
          </w:tcPr>
          <w:p w14:paraId="69543B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Ollama / vLLM</w:t>
            </w:r>
          </w:p>
        </w:tc>
        <w:tc>
          <w:tcPr>
            <w:tcW w:w="1728" w:type="dxa"/>
          </w:tcPr>
          <w:p w14:paraId="34DD79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可选</w:t>
            </w:r>
          </w:p>
        </w:tc>
        <w:tc>
          <w:tcPr>
            <w:tcW w:w="1728" w:type="dxa"/>
          </w:tcPr>
          <w:p w14:paraId="032553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本地部署</w:t>
            </w:r>
          </w:p>
        </w:tc>
      </w:tr>
      <w:tr w14:paraId="737D2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191DA9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custom</w:t>
            </w:r>
          </w:p>
        </w:tc>
        <w:tc>
          <w:tcPr>
            <w:tcW w:w="1728" w:type="dxa"/>
          </w:tcPr>
          <w:p w14:paraId="5B4F0F1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自定义平台</w:t>
            </w:r>
          </w:p>
        </w:tc>
        <w:tc>
          <w:tcPr>
            <w:tcW w:w="1728" w:type="dxa"/>
          </w:tcPr>
          <w:p w14:paraId="29A771E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任意OpenAI兼容</w:t>
            </w:r>
          </w:p>
        </w:tc>
        <w:tc>
          <w:tcPr>
            <w:tcW w:w="1728" w:type="dxa"/>
          </w:tcPr>
          <w:p w14:paraId="0A70E3C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可扩展</w:t>
            </w:r>
          </w:p>
        </w:tc>
        <w:tc>
          <w:tcPr>
            <w:tcW w:w="1728" w:type="dxa"/>
          </w:tcPr>
          <w:p w14:paraId="30564E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灵活扩展</w:t>
            </w:r>
          </w:p>
        </w:tc>
      </w:tr>
    </w:tbl>
    <w:p w14:paraId="13B7BD4B"/>
    <w:p w14:paraId="3A2E55D3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表2.6 支持的国产AI算力平台</w:t>
      </w:r>
    </w:p>
    <w:p w14:paraId="03981C6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关键技术实现：通过继承LangChain的ChatOpenAI创建ExtraBodyChatOpenAI子类，支持灵枢Lingshu-32B的非标准API参数（如top_k）；通过配置驱动的工厂模式实现平台一键切换（仅需修改</w:t>
      </w:r>
      <w:r>
        <w:rPr>
          <w:rFonts w:ascii="Consolas" w:hAnsi="Consolas"/>
          <w:b w:val="0"/>
          <w:i w:val="0"/>
          <w:color w:val="000000"/>
          <w:sz w:val="20"/>
        </w:rPr>
        <w:t>.env</w:t>
      </w:r>
      <w:r>
        <w:rPr>
          <w:rFonts w:ascii="宋体" w:hAnsi="宋体"/>
          <w:b w:val="0"/>
          <w:i w:val="0"/>
          <w:color w:val="000000"/>
          <w:sz w:val="24"/>
        </w:rPr>
        <w:t>中的</w:t>
      </w:r>
      <w:r>
        <w:rPr>
          <w:rFonts w:ascii="Consolas" w:hAnsi="Consolas"/>
          <w:b w:val="0"/>
          <w:i w:val="0"/>
          <w:color w:val="000000"/>
          <w:sz w:val="20"/>
        </w:rPr>
        <w:t>AI_PLATFORM</w:t>
      </w:r>
      <w:r>
        <w:rPr>
          <w:rFonts w:ascii="宋体" w:hAnsi="宋体"/>
          <w:b w:val="0"/>
          <w:i w:val="0"/>
          <w:color w:val="000000"/>
          <w:sz w:val="24"/>
        </w:rPr>
        <w:t>变量）；通过Fallback机制实现主平台不可用时的自动切换。</w:t>
      </w:r>
    </w:p>
    <w:p w14:paraId="542EC08E">
      <w:pPr>
        <w:pStyle w:val="5"/>
      </w:pPr>
      <w:r>
        <w:rPr>
          <w:rFonts w:ascii="黑体" w:hAnsi="黑体"/>
          <w:color w:val="000000"/>
        </w:rPr>
        <w:t>2.8 项目目录结构</w:t>
      </w:r>
    </w:p>
    <w:p w14:paraId="647DB4C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心镜AIGC智能体平台/</w:t>
      </w:r>
    </w:p>
    <w:p w14:paraId="241B681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backend/                          # Python后端</w:t>
      </w:r>
    </w:p>
    <w:p w14:paraId="23000C7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main.py                       # FastAPI入口</w:t>
      </w:r>
    </w:p>
    <w:p w14:paraId="5D6D92F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config.py                     # 配置中心</w:t>
      </w:r>
    </w:p>
    <w:p w14:paraId="31F2E5E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database.py                   # SQLAlchemy数据库连接</w:t>
      </w:r>
    </w:p>
    <w:p w14:paraId="1F3BDD6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agents/                       # [核心] 多智能体协作系统</w:t>
      </w:r>
    </w:p>
    <w:p w14:paraId="2AEC0BF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base_agent.py             # 智能体抽象基类</w:t>
      </w:r>
    </w:p>
    <w:p w14:paraId="7A7C255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perception_agent.py       # 感知智能体</w:t>
      </w:r>
    </w:p>
    <w:p w14:paraId="3D303F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analysis_agent.py         # 分析智能体</w:t>
      </w:r>
    </w:p>
    <w:p w14:paraId="2AFAF86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report_agent.py           # 报告智能体</w:t>
      </w:r>
    </w:p>
    <w:p w14:paraId="2E6A93D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alert_agent.py            # 预警智能体</w:t>
      </w:r>
    </w:p>
    <w:p w14:paraId="37342C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orchestrator_agent.py     # 协调智能体</w:t>
      </w:r>
    </w:p>
    <w:p w14:paraId="39A2C31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aigc/                         # [核心] AIGC内容生成引擎</w:t>
      </w:r>
    </w:p>
    <w:p w14:paraId="69DAA94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report_generator.py       # 心理评估报告生成器</w:t>
      </w:r>
    </w:p>
    <w:p w14:paraId="2344FFBF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plan_generator.py         # 干预方案生成器</w:t>
      </w:r>
    </w:p>
    <w:p w14:paraId="73E7AB8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letter_generator.py       # 家校沟通函生成器</w:t>
      </w:r>
    </w:p>
    <w:p w14:paraId="2D8DF0F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narrative_generator.py    # 成长叙事生成器</w:t>
      </w:r>
    </w:p>
    <w:p w14:paraId="16A9C63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templates/                # AIGC输出模板</w:t>
      </w:r>
    </w:p>
    <w:p w14:paraId="6887E0A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llm/                          # AI算力平台适配层</w:t>
      </w:r>
    </w:p>
    <w:p w14:paraId="0EA885B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platform_adapter.py       # 多平台统一适配器</w:t>
      </w:r>
    </w:p>
    <w:p w14:paraId="719FA6D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deepseek.py              # DeepSeek备用接口</w:t>
      </w:r>
    </w:p>
    <w:p w14:paraId="6896000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vibraimage/                   # VibraImage前庭振动引擎</w:t>
      </w:r>
    </w:p>
    <w:p w14:paraId="35C7B18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pipeline/                 # 处理流水线(YOLOv8+主引擎)</w:t>
      </w:r>
    </w:p>
    <w:p w14:paraId="1111011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core/                     # 核心算法(帧差分/频率/直方图/空间/频谱)</w:t>
      </w:r>
    </w:p>
    <w:p w14:paraId="7DDE80B3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emotions/                 # 情绪参数(E1-E12+K值)</w:t>
      </w:r>
    </w:p>
    <w:p w14:paraId="218C313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utils/                    # 工具(常模数据/验证/可视化)</w:t>
      </w:r>
    </w:p>
    <w:p w14:paraId="6C91AC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graph/                        # LangGraph状态机</w:t>
      </w:r>
    </w:p>
    <w:p w14:paraId="5519220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inner_loop.py             # 内环图(采集→识别→存储)</w:t>
      </w:r>
    </w:p>
    <w:p w14:paraId="574EDF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outer_loop.py             # 外环图(聚合→分析→预警→反馈)</w:t>
      </w:r>
    </w:p>
    <w:p w14:paraId="091BBCD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nodes/                    # 7个图节点</w:t>
      </w:r>
    </w:p>
    <w:p w14:paraId="575933C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tools/                        # 核心工具层</w:t>
      </w:r>
    </w:p>
    <w:p w14:paraId="18BAE71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emotion_recognition.py    # 多模态情绪识别</w:t>
      </w:r>
    </w:p>
    <w:p w14:paraId="6CB8D2E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mental_health.py          # 12项指标+LSTM分析</w:t>
      </w:r>
    </w:p>
    <w:p w14:paraId="57FA9B4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feedback.py               # 多渠道反馈工具</w:t>
      </w:r>
    </w:p>
    <w:p w14:paraId="4CBCCEA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obs_storage.py            # OBS云端持久化</w:t>
      </w:r>
    </w:p>
    <w:p w14:paraId="7EB0C4C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api/routes/                   # REST API路由</w:t>
      </w:r>
    </w:p>
    <w:p w14:paraId="718B186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dashboard.py              # 仪表盘API</w:t>
      </w:r>
    </w:p>
    <w:p w14:paraId="57D1AAC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students.py               # 学生管理API</w:t>
      </w:r>
    </w:p>
    <w:p w14:paraId="0E31E8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alerts.py                 # 预警管理API</w:t>
      </w:r>
    </w:p>
    <w:p w14:paraId="6CBFC93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upload.py                 # 视频/图片上传API</w:t>
      </w:r>
    </w:p>
    <w:p w14:paraId="53CCB2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sse.py                    # SSE流式推送API</w:t>
      </w:r>
    </w:p>
    <w:p w14:paraId="092160C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aigc.py                   # AIGC内容生成API</w:t>
      </w:r>
    </w:p>
    <w:p w14:paraId="1EFF32D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agents.py                 # 智能体管理API</w:t>
      </w:r>
    </w:p>
    <w:p w14:paraId="3436E5C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models/                       # ORM模型</w:t>
      </w:r>
    </w:p>
    <w:p w14:paraId="39D19BF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services/                     # 业务逻辑层</w:t>
      </w:r>
    </w:p>
    <w:p w14:paraId="085F145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scheduler/                    # 定时任务</w:t>
      </w:r>
    </w:p>
    <w:p w14:paraId="312AF28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data/</w:t>
      </w:r>
    </w:p>
    <w:p w14:paraId="32038A2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yolov8n.pt                   # YOLOv8n人脸检测模型</w:t>
      </w:r>
    </w:p>
    <w:p w14:paraId="159F847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frontend/                         # Vue 3 前端</w:t>
      </w:r>
    </w:p>
    <w:p w14:paraId="7276620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src/views/                    # 7个页面视图</w:t>
      </w:r>
    </w:p>
    <w:p w14:paraId="3BD0F0D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src/components/               # 图表/通用组件</w:t>
      </w:r>
    </w:p>
    <w:p w14:paraId="744B9DC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src/stores/                   # 状态管理</w:t>
      </w:r>
    </w:p>
    <w:p w14:paraId="5C23FD6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tests/                            # 56项自动化测试</w:t>
      </w:r>
    </w:p>
    <w:p w14:paraId="0A4BF8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vibraimage_engine/                # 独立VibraImage引擎</w:t>
      </w:r>
    </w:p>
    <w:p w14:paraId="1725D4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docker-compose.yml                # Docker部署</w:t>
      </w:r>
    </w:p>
    <w:p w14:paraId="710B6D4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Dockerfile</w:t>
      </w:r>
    </w:p>
    <w:p w14:paraId="1EC08AD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.env.template                     # 环境变量模板</w:t>
      </w:r>
    </w:p>
    <w:p w14:paraId="7A8DB6F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requirements.txt                  # Python依赖</w:t>
      </w:r>
    </w:p>
    <w:p w14:paraId="38BF3EB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 run_backend.py                    # 启动脚本</w:t>
      </w:r>
    </w:p>
    <w:p w14:paraId="7FB22E27"/>
    <w:p w14:paraId="7A75EBCE">
      <w:pPr>
        <w:pStyle w:val="5"/>
      </w:pPr>
      <w:r>
        <w:rPr>
          <w:rFonts w:ascii="黑体" w:hAnsi="黑体"/>
          <w:color w:val="000000"/>
        </w:rPr>
        <w:t>2.9 技术栈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726B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34A076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层级</w:t>
            </w:r>
          </w:p>
        </w:tc>
        <w:tc>
          <w:tcPr>
            <w:tcW w:w="2160" w:type="dxa"/>
          </w:tcPr>
          <w:p w14:paraId="3253AB1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技术</w:t>
            </w:r>
          </w:p>
        </w:tc>
        <w:tc>
          <w:tcPr>
            <w:tcW w:w="2160" w:type="dxa"/>
          </w:tcPr>
          <w:p w14:paraId="467DF384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版本</w:t>
            </w:r>
          </w:p>
        </w:tc>
        <w:tc>
          <w:tcPr>
            <w:tcW w:w="2160" w:type="dxa"/>
          </w:tcPr>
          <w:p w14:paraId="6EC7D222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77031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E0CACB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主推理引擎</w:t>
            </w:r>
          </w:p>
        </w:tc>
        <w:tc>
          <w:tcPr>
            <w:tcW w:w="2160" w:type="dxa"/>
          </w:tcPr>
          <w:p w14:paraId="4AA0EF2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灵枢 Lingshu-32B</w:t>
            </w:r>
          </w:p>
        </w:tc>
        <w:tc>
          <w:tcPr>
            <w:tcW w:w="2160" w:type="dxa"/>
          </w:tcPr>
          <w:p w14:paraId="44597E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582D3A3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沐曦GPU推理 · 医疗大模型</w:t>
            </w:r>
          </w:p>
        </w:tc>
      </w:tr>
      <w:tr w14:paraId="57977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953D8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备用推理</w:t>
            </w:r>
          </w:p>
        </w:tc>
        <w:tc>
          <w:tcPr>
            <w:tcW w:w="2160" w:type="dxa"/>
          </w:tcPr>
          <w:p w14:paraId="7A54FEB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DeepSeek</w:t>
            </w:r>
          </w:p>
        </w:tc>
        <w:tc>
          <w:tcPr>
            <w:tcW w:w="2160" w:type="dxa"/>
          </w:tcPr>
          <w:p w14:paraId="045968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66F5E0D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自动Fallback</w:t>
            </w:r>
          </w:p>
        </w:tc>
      </w:tr>
      <w:tr w14:paraId="4A295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CC4B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前庭振动</w:t>
            </w:r>
          </w:p>
        </w:tc>
        <w:tc>
          <w:tcPr>
            <w:tcW w:w="2160" w:type="dxa"/>
          </w:tcPr>
          <w:p w14:paraId="517E1B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 + YOLOv8n</w:t>
            </w:r>
          </w:p>
        </w:tc>
        <w:tc>
          <w:tcPr>
            <w:tcW w:w="2160" w:type="dxa"/>
          </w:tcPr>
          <w:p w14:paraId="7A0DA10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v0.1.0</w:t>
            </w:r>
          </w:p>
        </w:tc>
        <w:tc>
          <w:tcPr>
            <w:tcW w:w="2160" w:type="dxa"/>
          </w:tcPr>
          <w:p w14:paraId="5104C6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Minkin专著公式体系</w:t>
            </w:r>
          </w:p>
        </w:tc>
      </w:tr>
      <w:tr w14:paraId="4F6C5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EB43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后端框架</w:t>
            </w:r>
          </w:p>
        </w:tc>
        <w:tc>
          <w:tcPr>
            <w:tcW w:w="2160" w:type="dxa"/>
          </w:tcPr>
          <w:p w14:paraId="342CFC5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FastAPI</w:t>
            </w:r>
          </w:p>
        </w:tc>
        <w:tc>
          <w:tcPr>
            <w:tcW w:w="2160" w:type="dxa"/>
          </w:tcPr>
          <w:p w14:paraId="7DEE8B2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0.115</w:t>
            </w:r>
          </w:p>
        </w:tc>
        <w:tc>
          <w:tcPr>
            <w:tcW w:w="2160" w:type="dxa"/>
          </w:tcPr>
          <w:p w14:paraId="14F86C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异步Web</w:t>
            </w:r>
          </w:p>
        </w:tc>
      </w:tr>
      <w:tr w14:paraId="29BDB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4F80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AI编排</w:t>
            </w:r>
          </w:p>
        </w:tc>
        <w:tc>
          <w:tcPr>
            <w:tcW w:w="2160" w:type="dxa"/>
          </w:tcPr>
          <w:p w14:paraId="1A8D3E6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LangGraph + LangChain</w:t>
            </w:r>
          </w:p>
        </w:tc>
        <w:tc>
          <w:tcPr>
            <w:tcW w:w="2160" w:type="dxa"/>
          </w:tcPr>
          <w:p w14:paraId="53588CA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0.2.60 / 0.3.13</w:t>
            </w:r>
          </w:p>
        </w:tc>
        <w:tc>
          <w:tcPr>
            <w:tcW w:w="2160" w:type="dxa"/>
          </w:tcPr>
          <w:p w14:paraId="481C74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状态机 + ReAct Agent</w:t>
            </w:r>
          </w:p>
        </w:tc>
      </w:tr>
      <w:tr w14:paraId="3B212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26BE4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前端</w:t>
            </w:r>
          </w:p>
        </w:tc>
        <w:tc>
          <w:tcPr>
            <w:tcW w:w="2160" w:type="dxa"/>
          </w:tcPr>
          <w:p w14:paraId="6FB124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Vue 3 + Vite + ECharts</w:t>
            </w:r>
          </w:p>
        </w:tc>
        <w:tc>
          <w:tcPr>
            <w:tcW w:w="2160" w:type="dxa"/>
          </w:tcPr>
          <w:p w14:paraId="4EA3325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3.x</w:t>
            </w:r>
          </w:p>
        </w:tc>
        <w:tc>
          <w:tcPr>
            <w:tcW w:w="2160" w:type="dxa"/>
          </w:tcPr>
          <w:p w14:paraId="08DAC28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响应式仪表盘</w:t>
            </w:r>
          </w:p>
        </w:tc>
      </w:tr>
      <w:tr w14:paraId="2D3A6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7965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w="2160" w:type="dxa"/>
          </w:tcPr>
          <w:p w14:paraId="4D07AD7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SQLite + SQLAlchemy</w:t>
            </w:r>
          </w:p>
        </w:tc>
        <w:tc>
          <w:tcPr>
            <w:tcW w:w="2160" w:type="dxa"/>
          </w:tcPr>
          <w:p w14:paraId="04D33B8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2.0.36</w:t>
            </w:r>
          </w:p>
        </w:tc>
        <w:tc>
          <w:tcPr>
            <w:tcW w:w="2160" w:type="dxa"/>
          </w:tcPr>
          <w:p w14:paraId="195BCCC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ORM</w:t>
            </w:r>
          </w:p>
        </w:tc>
      </w:tr>
      <w:tr w14:paraId="0C75C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DCF84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存储</w:t>
            </w:r>
          </w:p>
        </w:tc>
        <w:tc>
          <w:tcPr>
            <w:tcW w:w="2160" w:type="dxa"/>
          </w:tcPr>
          <w:p w14:paraId="0D82979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华为云OBS</w:t>
            </w:r>
          </w:p>
        </w:tc>
        <w:tc>
          <w:tcPr>
            <w:tcW w:w="2160" w:type="dxa"/>
          </w:tcPr>
          <w:p w14:paraId="67602DD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19C76FC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情绪数据持久化</w:t>
            </w:r>
          </w:p>
        </w:tc>
      </w:tr>
      <w:tr w14:paraId="593F5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D31B0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调度</w:t>
            </w:r>
          </w:p>
        </w:tc>
        <w:tc>
          <w:tcPr>
            <w:tcW w:w="2160" w:type="dxa"/>
          </w:tcPr>
          <w:p w14:paraId="474FFA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APScheduler</w:t>
            </w:r>
          </w:p>
        </w:tc>
        <w:tc>
          <w:tcPr>
            <w:tcW w:w="2160" w:type="dxa"/>
          </w:tcPr>
          <w:p w14:paraId="7366E7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3.10.4</w:t>
            </w:r>
          </w:p>
        </w:tc>
        <w:tc>
          <w:tcPr>
            <w:tcW w:w="2160" w:type="dxa"/>
          </w:tcPr>
          <w:p w14:paraId="0C486B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15min + 22:00</w:t>
            </w:r>
          </w:p>
        </w:tc>
      </w:tr>
      <w:tr w14:paraId="42B5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CD847B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实时推送</w:t>
            </w:r>
          </w:p>
        </w:tc>
        <w:tc>
          <w:tcPr>
            <w:tcW w:w="2160" w:type="dxa"/>
          </w:tcPr>
          <w:p w14:paraId="2B85DD6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SSE</w:t>
            </w:r>
          </w:p>
        </w:tc>
        <w:tc>
          <w:tcPr>
            <w:tcW w:w="2160" w:type="dxa"/>
          </w:tcPr>
          <w:p w14:paraId="07BA801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49DD16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流式推送</w:t>
            </w:r>
          </w:p>
        </w:tc>
      </w:tr>
      <w:tr w14:paraId="69351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8CEB0E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容器化</w:t>
            </w:r>
          </w:p>
        </w:tc>
        <w:tc>
          <w:tcPr>
            <w:tcW w:w="2160" w:type="dxa"/>
          </w:tcPr>
          <w:p w14:paraId="6CAE06C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Docker + docker-compose</w:t>
            </w:r>
          </w:p>
        </w:tc>
        <w:tc>
          <w:tcPr>
            <w:tcW w:w="2160" w:type="dxa"/>
          </w:tcPr>
          <w:p w14:paraId="3AA34D5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50B9EAD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一键部署</w:t>
            </w:r>
          </w:p>
        </w:tc>
      </w:tr>
      <w:tr w14:paraId="3E637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501F6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测试</w:t>
            </w:r>
          </w:p>
        </w:tc>
        <w:tc>
          <w:tcPr>
            <w:tcW w:w="2160" w:type="dxa"/>
          </w:tcPr>
          <w:p w14:paraId="153634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Pytest</w:t>
            </w:r>
          </w:p>
        </w:tc>
        <w:tc>
          <w:tcPr>
            <w:tcW w:w="2160" w:type="dxa"/>
          </w:tcPr>
          <w:p w14:paraId="043F90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8.3.4</w:t>
            </w:r>
          </w:p>
        </w:tc>
        <w:tc>
          <w:tcPr>
            <w:tcW w:w="2160" w:type="dxa"/>
          </w:tcPr>
          <w:p w14:paraId="5D9EC75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56项测试</w:t>
            </w:r>
          </w:p>
        </w:tc>
      </w:tr>
    </w:tbl>
    <w:p w14:paraId="34857217"/>
    <w:p w14:paraId="695AFA9D">
      <w:pPr>
        <w:pBdr>
          <w:bottom w:val="single" w:color="000000" w:sz="6" w:space="4"/>
        </w:pBdr>
      </w:pPr>
    </w:p>
    <w:p w14:paraId="4EC8D95F">
      <w:pPr>
        <w:pStyle w:val="4"/>
      </w:pPr>
      <w:r>
        <w:rPr>
          <w:rFonts w:ascii="黑体" w:hAnsi="黑体"/>
          <w:color w:val="000000"/>
        </w:rPr>
        <w:t>3 实验数据与结果</w:t>
      </w:r>
    </w:p>
    <w:p w14:paraId="31042DD3">
      <w:pPr>
        <w:pStyle w:val="5"/>
      </w:pPr>
      <w:r>
        <w:rPr>
          <w:rFonts w:ascii="黑体" w:hAnsi="黑体"/>
          <w:color w:val="000000"/>
        </w:rPr>
        <w:t>3.1 项目代码链接</w:t>
      </w:r>
    </w:p>
    <w:p w14:paraId="6129876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本项目代码完全开源，遵循Apache 2.0协议。</w:t>
      </w:r>
    </w:p>
    <w:p w14:paraId="61D0B35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GitLink/GitHub地址</w:t>
      </w:r>
      <w:r>
        <w:rPr>
          <w:rFonts w:ascii="宋体" w:hAnsi="宋体"/>
          <w:b w:val="0"/>
          <w:i w:val="0"/>
          <w:color w:val="000000"/>
          <w:sz w:val="24"/>
        </w:rPr>
        <w:t>：[请填写项目链接]</w:t>
      </w:r>
    </w:p>
    <w:p w14:paraId="1460AEE8">
      <w:pPr>
        <w:pStyle w:val="5"/>
      </w:pPr>
      <w:r>
        <w:rPr>
          <w:rFonts w:ascii="黑体" w:hAnsi="黑体"/>
          <w:color w:val="000000"/>
        </w:rPr>
        <w:t>3.2 系统功能展示</w:t>
      </w:r>
    </w:p>
    <w:p w14:paraId="7DC5E33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3.2.1 仪表盘页面</w:t>
      </w:r>
    </w:p>
    <w:p w14:paraId="7C3B674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主仪表盘展示学生总数、今日平均情绪评分、活跃预警数量等核心指标，并提供7日情绪趋势图和预警分布图。页面下方设有系统控制面板，可手动触发实时情绪采集和每日心理健康分析，SSE流式窗口实时展示多智能体协作过程。</w:t>
      </w:r>
    </w:p>
    <w:p w14:paraId="42F5271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3.2.2 AIGC报告生成</w:t>
      </w:r>
    </w:p>
    <w:p w14:paraId="283EC81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AIGC模块支持生成4种类型的心理健康内容：</w:t>
      </w:r>
    </w:p>
    <w:p w14:paraId="296F2A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心理评估日报</w:t>
      </w:r>
      <w:r>
        <w:rPr>
          <w:rFonts w:ascii="宋体" w:hAnsi="宋体"/>
          <w:b w:val="0"/>
          <w:i w:val="0"/>
          <w:color w:val="000000"/>
          <w:sz w:val="24"/>
        </w:rPr>
        <w:t>：基于当日情绪数据，自动生成包含情绪概况、关键指标、风险分析、明日预测、建议措施的结构化报告</w:t>
      </w:r>
    </w:p>
    <w:p w14:paraId="1FB240E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个性化干预方案</w:t>
      </w:r>
      <w:r>
        <w:rPr>
          <w:rFonts w:ascii="宋体" w:hAnsi="宋体"/>
          <w:b w:val="0"/>
          <w:i w:val="0"/>
          <w:color w:val="000000"/>
          <w:sz w:val="24"/>
        </w:rPr>
        <w:t>：针对黄/红色预警学生，自动生成绿/黄/红三级干预方案</w:t>
      </w:r>
    </w:p>
    <w:p w14:paraId="5763F40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家校沟通函</w:t>
      </w:r>
      <w:r>
        <w:rPr>
          <w:rFonts w:ascii="宋体" w:hAnsi="宋体"/>
          <w:b w:val="0"/>
          <w:i w:val="0"/>
          <w:color w:val="000000"/>
          <w:sz w:val="24"/>
        </w:rPr>
        <w:t>：根据风险等级使用不同措辞，自动生成给家长的情绪关注建议函</w:t>
      </w:r>
    </w:p>
    <w:p w14:paraId="34CA0B2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学生成长叙事</w:t>
      </w:r>
      <w:r>
        <w:rPr>
          <w:rFonts w:ascii="宋体" w:hAnsi="宋体"/>
          <w:b w:val="0"/>
          <w:i w:val="0"/>
          <w:color w:val="000000"/>
          <w:sz w:val="24"/>
        </w:rPr>
        <w:t>：基于长期情绪数据，生成学生心理成长轨迹报告</w:t>
      </w:r>
    </w:p>
    <w:p w14:paraId="1991208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3.2.3 智能体协作面板</w:t>
      </w:r>
    </w:p>
    <w:p w14:paraId="6C564B7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智能体面板展示5个智能体的详细信息和当前运行状态。用户可通过API触发内环（实时情绪采集）和外环（每日深度分析+全AIGC流程），并通过SSE实时流式观看协调智能体调度感知→分析→报告→预警的完整协作过程。</w:t>
      </w:r>
    </w:p>
    <w:p w14:paraId="77E9F645">
      <w:pPr>
        <w:spacing w:before="40" w:after="40"/>
      </w:pPr>
      <w:bookmarkStart w:id="0" w:name="_GoBack"/>
      <w:bookmarkEnd w:id="0"/>
      <w:r>
        <w:rPr>
          <w:rFonts w:ascii="宋体" w:hAnsi="宋体"/>
          <w:b w:val="0"/>
          <w:i w:val="0"/>
          <w:color w:val="000000"/>
          <w:sz w:val="24"/>
        </w:rPr>
        <w:t>3.2.4 预警管理</w:t>
      </w:r>
    </w:p>
    <w:p w14:paraId="3F335A2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预警面板以列表形式展示所有预警记录，支持按严重程度筛选。每条预警显示学生姓名、风险等级、预警原因、反馈渠道、触发时间和确认状态。红色预警自动生成P0紧急工单，支持全渠道通知。</w:t>
      </w:r>
    </w:p>
    <w:p w14:paraId="71B27F2F">
      <w:pPr>
        <w:pStyle w:val="5"/>
      </w:pPr>
      <w:r>
        <w:rPr>
          <w:rFonts w:ascii="黑体" w:hAnsi="黑体"/>
          <w:color w:val="000000"/>
        </w:rPr>
        <w:t>3.3 API接口总览</w:t>
      </w:r>
    </w:p>
    <w:p w14:paraId="63E3798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系统提供21个REST API端点，覆盖系统管理、数据查询、AIGC生成、智能体控制等全部功能：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C10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8BA72AC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方法</w:t>
            </w:r>
          </w:p>
        </w:tc>
        <w:tc>
          <w:tcPr>
            <w:tcW w:w="2880" w:type="dxa"/>
          </w:tcPr>
          <w:p w14:paraId="22BE64FA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端点</w:t>
            </w:r>
          </w:p>
        </w:tc>
        <w:tc>
          <w:tcPr>
            <w:tcW w:w="2880" w:type="dxa"/>
          </w:tcPr>
          <w:p w14:paraId="2C03FD04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2E6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76ED17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03C5BB8B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/api/health</w:t>
            </w:r>
          </w:p>
        </w:tc>
        <w:tc>
          <w:tcPr>
            <w:tcW w:w="2880" w:type="dxa"/>
          </w:tcPr>
          <w:p w14:paraId="722758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健康检查 + 平台信息</w:t>
            </w:r>
          </w:p>
        </w:tc>
      </w:tr>
      <w:tr w14:paraId="0200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3ECDF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5581CEE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/api/dashboard/summary</w:t>
            </w:r>
          </w:p>
        </w:tc>
        <w:tc>
          <w:tcPr>
            <w:tcW w:w="2880" w:type="dxa"/>
          </w:tcPr>
          <w:p w14:paraId="1B88987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仪表盘数据</w:t>
            </w:r>
          </w:p>
        </w:tc>
      </w:tr>
      <w:tr w14:paraId="46E6D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A43A4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024AC6E0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/api/students</w:t>
            </w:r>
          </w:p>
        </w:tc>
        <w:tc>
          <w:tcPr>
            <w:tcW w:w="2880" w:type="dxa"/>
          </w:tcPr>
          <w:p w14:paraId="6D48BE4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学生列表</w:t>
            </w:r>
          </w:p>
        </w:tc>
      </w:tr>
      <w:tr w14:paraId="67E94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D571B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1668AC74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/api/students/{id}</w:t>
            </w:r>
          </w:p>
        </w:tc>
        <w:tc>
          <w:tcPr>
            <w:tcW w:w="2880" w:type="dxa"/>
          </w:tcPr>
          <w:p w14:paraId="32BF381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学生详情</w:t>
            </w:r>
          </w:p>
        </w:tc>
      </w:tr>
      <w:tr w14:paraId="0480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631D0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3451F947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/api/alerts</w:t>
            </w:r>
          </w:p>
        </w:tc>
        <w:tc>
          <w:tcPr>
            <w:tcW w:w="2880" w:type="dxa"/>
          </w:tcPr>
          <w:p w14:paraId="4F0560F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预警列表</w:t>
            </w:r>
          </w:p>
        </w:tc>
      </w:tr>
      <w:tr w14:paraId="558BF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99823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PATCH</w:t>
            </w:r>
          </w:p>
        </w:tc>
        <w:tc>
          <w:tcPr>
            <w:tcW w:w="2880" w:type="dxa"/>
          </w:tcPr>
          <w:p w14:paraId="2FC95C6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/api/alerts/{id}/acknowledge</w:t>
            </w:r>
          </w:p>
        </w:tc>
        <w:tc>
          <w:tcPr>
            <w:tcW w:w="2880" w:type="dxa"/>
          </w:tcPr>
          <w:p w14:paraId="19DD51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确认预警</w:t>
            </w:r>
          </w:p>
        </w:tc>
      </w:tr>
      <w:tr w14:paraId="4F7FC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D766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2968F72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/api/upload/image</w:t>
            </w:r>
          </w:p>
        </w:tc>
        <w:tc>
          <w:tcPr>
            <w:tcW w:w="2880" w:type="dxa"/>
          </w:tcPr>
          <w:p w14:paraId="45AC815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上传图片触发采集</w:t>
            </w:r>
          </w:p>
        </w:tc>
      </w:tr>
      <w:tr w14:paraId="0E2CF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3D94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61B6816D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/api/upload/video</w:t>
            </w:r>
          </w:p>
        </w:tc>
        <w:tc>
          <w:tcPr>
            <w:tcW w:w="2880" w:type="dxa"/>
          </w:tcPr>
          <w:p w14:paraId="15DA616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上传视频触发采集</w:t>
            </w:r>
          </w:p>
        </w:tc>
      </w:tr>
      <w:tr w14:paraId="4E8D2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ADC30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7552485C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/api/sse/stream/{run_id}</w:t>
            </w:r>
          </w:p>
        </w:tc>
        <w:tc>
          <w:tcPr>
            <w:tcW w:w="2880" w:type="dxa"/>
          </w:tcPr>
          <w:p w14:paraId="4E6E923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SSE流式推送</w:t>
            </w:r>
          </w:p>
        </w:tc>
      </w:tr>
      <w:tr w14:paraId="61CEA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7ED3F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2B550BF6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/api/aigc/report/daily</w:t>
            </w:r>
          </w:p>
        </w:tc>
        <w:tc>
          <w:tcPr>
            <w:tcW w:w="2880" w:type="dxa"/>
          </w:tcPr>
          <w:p w14:paraId="4F08AF0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AIGC心理评估日报</w:t>
            </w:r>
          </w:p>
        </w:tc>
      </w:tr>
      <w:tr w14:paraId="36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03D709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5281F0A4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/api/aigc/report/weekly</w:t>
            </w:r>
          </w:p>
        </w:tc>
        <w:tc>
          <w:tcPr>
            <w:tcW w:w="2880" w:type="dxa"/>
          </w:tcPr>
          <w:p w14:paraId="4AEF32E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AIGC周度趋势分析</w:t>
            </w:r>
          </w:p>
        </w:tc>
      </w:tr>
      <w:tr w14:paraId="0BCEE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08C7C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94C4CA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/api/aigc/plan/intervention</w:t>
            </w:r>
          </w:p>
        </w:tc>
        <w:tc>
          <w:tcPr>
            <w:tcW w:w="2880" w:type="dxa"/>
          </w:tcPr>
          <w:p w14:paraId="25F2236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AIGC干预方案</w:t>
            </w:r>
          </w:p>
        </w:tc>
      </w:tr>
      <w:tr w14:paraId="3679C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B0B7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7C05292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/api/aigc/letter/parent</w:t>
            </w:r>
          </w:p>
        </w:tc>
        <w:tc>
          <w:tcPr>
            <w:tcW w:w="2880" w:type="dxa"/>
          </w:tcPr>
          <w:p w14:paraId="6539A95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AIGC家校沟通函</w:t>
            </w:r>
          </w:p>
        </w:tc>
      </w:tr>
      <w:tr w14:paraId="3CD17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1395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DBDA31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/api/aigc/narrative/growth</w:t>
            </w:r>
          </w:p>
        </w:tc>
        <w:tc>
          <w:tcPr>
            <w:tcW w:w="2880" w:type="dxa"/>
          </w:tcPr>
          <w:p w14:paraId="0F90C4E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AIGC成长叙事</w:t>
            </w:r>
          </w:p>
        </w:tc>
      </w:tr>
      <w:tr w14:paraId="547B9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A2D4B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35BD5DC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/api/agents/info</w:t>
            </w:r>
          </w:p>
        </w:tc>
        <w:tc>
          <w:tcPr>
            <w:tcW w:w="2880" w:type="dxa"/>
          </w:tcPr>
          <w:p w14:paraId="7E2595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多智能体信息</w:t>
            </w:r>
          </w:p>
        </w:tc>
      </w:tr>
      <w:tr w14:paraId="5881D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EE8B1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507711A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/api/agents/platform</w:t>
            </w:r>
          </w:p>
        </w:tc>
        <w:tc>
          <w:tcPr>
            <w:tcW w:w="2880" w:type="dxa"/>
          </w:tcPr>
          <w:p w14:paraId="03E084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算力平台信息</w:t>
            </w:r>
          </w:p>
        </w:tc>
      </w:tr>
      <w:tr w14:paraId="6D20C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470C9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7C43799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/api/agents/trigger/inner</w:t>
            </w:r>
          </w:p>
        </w:tc>
        <w:tc>
          <w:tcPr>
            <w:tcW w:w="2880" w:type="dxa"/>
          </w:tcPr>
          <w:p w14:paraId="3EA54C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触发内环采集</w:t>
            </w:r>
          </w:p>
        </w:tc>
      </w:tr>
      <w:tr w14:paraId="60C0C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27D500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7C8FA30D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/api/agents/trigger/outer</w:t>
            </w:r>
          </w:p>
        </w:tc>
        <w:tc>
          <w:tcPr>
            <w:tcW w:w="2880" w:type="dxa"/>
          </w:tcPr>
          <w:p w14:paraId="381884B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触发外环分析</w:t>
            </w:r>
          </w:p>
        </w:tc>
      </w:tr>
      <w:tr w14:paraId="65560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89A73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40B1865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/api/vibraimage/health</w:t>
            </w:r>
          </w:p>
        </w:tc>
        <w:tc>
          <w:tcPr>
            <w:tcW w:w="2880" w:type="dxa"/>
          </w:tcPr>
          <w:p w14:paraId="25FDF5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VibraImage引擎状态</w:t>
            </w:r>
          </w:p>
        </w:tc>
      </w:tr>
      <w:tr w14:paraId="58F0F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ECD9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372DCA5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/api/vibraimage/analyze</w:t>
            </w:r>
          </w:p>
        </w:tc>
        <w:tc>
          <w:tcPr>
            <w:tcW w:w="2880" w:type="dxa"/>
          </w:tcPr>
          <w:p w14:paraId="62D2A2E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VibraImage视频分析</w:t>
            </w:r>
          </w:p>
        </w:tc>
      </w:tr>
      <w:tr w14:paraId="2168D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1B0347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69EA0B3C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/api/aigc/capabilities</w:t>
            </w:r>
          </w:p>
        </w:tc>
        <w:tc>
          <w:tcPr>
            <w:tcW w:w="2880" w:type="dxa"/>
          </w:tcPr>
          <w:p w14:paraId="1AD4EC1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AIGC能力列表</w:t>
            </w:r>
          </w:p>
        </w:tc>
      </w:tr>
    </w:tbl>
    <w:p w14:paraId="0B81FFBE"/>
    <w:p w14:paraId="6DD79E99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表3.1 API接口总览</w:t>
      </w:r>
    </w:p>
    <w:p w14:paraId="57E5674B">
      <w:pPr>
        <w:pStyle w:val="5"/>
      </w:pPr>
      <w:r>
        <w:rPr>
          <w:rFonts w:ascii="黑体" w:hAnsi="黑体"/>
          <w:color w:val="000000"/>
        </w:rPr>
        <w:t>3.4 测试结果</w:t>
      </w:r>
    </w:p>
    <w:p w14:paraId="639D0AF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项目内聚56项自动化测试，覆盖平台适配器、AIGC生成器、多智能体、状态机端到端四大模块，全部通过。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F9C5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C86BA52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测试模块</w:t>
            </w:r>
          </w:p>
        </w:tc>
        <w:tc>
          <w:tcPr>
            <w:tcW w:w="2160" w:type="dxa"/>
          </w:tcPr>
          <w:p w14:paraId="71E299A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测试数量</w:t>
            </w:r>
          </w:p>
        </w:tc>
        <w:tc>
          <w:tcPr>
            <w:tcW w:w="2160" w:type="dxa"/>
          </w:tcPr>
          <w:p w14:paraId="1E9F7B25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通过率</w:t>
            </w:r>
          </w:p>
        </w:tc>
        <w:tc>
          <w:tcPr>
            <w:tcW w:w="2160" w:type="dxa"/>
          </w:tcPr>
          <w:p w14:paraId="7ACF5B2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覆盖内容</w:t>
            </w:r>
          </w:p>
        </w:tc>
      </w:tr>
      <w:tr w14:paraId="6DE5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D5FA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平台适配器</w:t>
            </w:r>
          </w:p>
        </w:tc>
        <w:tc>
          <w:tcPr>
            <w:tcW w:w="2160" w:type="dxa"/>
          </w:tcPr>
          <w:p w14:paraId="004CB42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7</w:t>
            </w:r>
          </w:p>
        </w:tc>
        <w:tc>
          <w:tcPr>
            <w:tcW w:w="2160" w:type="dxa"/>
          </w:tcPr>
          <w:p w14:paraId="5F024B5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699403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灵枢/DeepSeek/本地平台初始化、Fallback</w:t>
            </w:r>
          </w:p>
        </w:tc>
      </w:tr>
      <w:tr w14:paraId="61225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781D4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AIGC生成器</w:t>
            </w:r>
          </w:p>
        </w:tc>
        <w:tc>
          <w:tcPr>
            <w:tcW w:w="2160" w:type="dxa"/>
          </w:tcPr>
          <w:p w14:paraId="36221CC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</w:t>
            </w:r>
          </w:p>
        </w:tc>
        <w:tc>
          <w:tcPr>
            <w:tcW w:w="2160" w:type="dxa"/>
          </w:tcPr>
          <w:p w14:paraId="74C2190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746A229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报告/方案/沟通函/叙事生成与格式验证</w:t>
            </w:r>
          </w:p>
        </w:tc>
      </w:tr>
      <w:tr w14:paraId="0977B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83B2DB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多智能体</w:t>
            </w:r>
          </w:p>
        </w:tc>
        <w:tc>
          <w:tcPr>
            <w:tcW w:w="2160" w:type="dxa"/>
          </w:tcPr>
          <w:p w14:paraId="5BAB3A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9</w:t>
            </w:r>
          </w:p>
        </w:tc>
        <w:tc>
          <w:tcPr>
            <w:tcW w:w="2160" w:type="dxa"/>
          </w:tcPr>
          <w:p w14:paraId="60828E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05995A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智能体初始化、ReAct流程、工具调用</w:t>
            </w:r>
          </w:p>
        </w:tc>
      </w:tr>
      <w:tr w14:paraId="1CA2E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8A3450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状态机端到端</w:t>
            </w:r>
          </w:p>
        </w:tc>
        <w:tc>
          <w:tcPr>
            <w:tcW w:w="2160" w:type="dxa"/>
          </w:tcPr>
          <w:p w14:paraId="6A929E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30</w:t>
            </w:r>
          </w:p>
        </w:tc>
        <w:tc>
          <w:tcPr>
            <w:tcW w:w="2160" w:type="dxa"/>
          </w:tcPr>
          <w:p w14:paraId="633064F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1A2D00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内环/外环完整流程、SSE事件推送</w:t>
            </w:r>
          </w:p>
        </w:tc>
      </w:tr>
      <w:tr w14:paraId="61E8F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C553D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合计</w:t>
            </w:r>
          </w:p>
        </w:tc>
        <w:tc>
          <w:tcPr>
            <w:tcW w:w="2160" w:type="dxa"/>
          </w:tcPr>
          <w:p w14:paraId="047ED05E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56</w:t>
            </w:r>
          </w:p>
        </w:tc>
        <w:tc>
          <w:tcPr>
            <w:tcW w:w="2160" w:type="dxa"/>
          </w:tcPr>
          <w:p w14:paraId="3B11E5E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58F66FE4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全模块覆盖</w:t>
            </w:r>
          </w:p>
        </w:tc>
      </w:tr>
    </w:tbl>
    <w:p w14:paraId="79676063"/>
    <w:p w14:paraId="49593480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表3.2 测试结果汇总</w:t>
      </w:r>
    </w:p>
    <w:p w14:paraId="00C4E3CC">
      <w:pPr>
        <w:pBdr>
          <w:bottom w:val="single" w:color="000000" w:sz="6" w:space="4"/>
        </w:pBdr>
      </w:pPr>
    </w:p>
    <w:p w14:paraId="4EC0F5F7">
      <w:pPr>
        <w:pStyle w:val="4"/>
      </w:pPr>
      <w:r>
        <w:rPr>
          <w:rFonts w:ascii="黑体" w:hAnsi="黑体"/>
          <w:color w:val="000000"/>
        </w:rPr>
        <w:t>4 特色创新</w:t>
      </w:r>
    </w:p>
    <w:p w14:paraId="7C078330">
      <w:pPr>
        <w:pStyle w:val="5"/>
      </w:pPr>
      <w:r>
        <w:rPr>
          <w:rFonts w:ascii="黑体" w:hAnsi="黑体"/>
          <w:color w:val="000000"/>
        </w:rPr>
        <w:t>4.1 国产算力全链路闭环</w:t>
      </w:r>
    </w:p>
    <w:p w14:paraId="7992C5E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本项目实现了从底层沐曦MetaX GPU算力、中层灵枢Lingshu-32B医疗大模型推理引擎、到上层AIGC应用的全链路国产化闭环，展示了国产GPU AI生态在医疗健康垂直领域的实际落地能力。通过抽象的平台适配层和ExtraBodyChatOpenAI技术方案，实现了多国产算力平台的无缝切换与自动Fallback，为国产算力生态的推广应用提供了可复用的技术架构参考。</w:t>
      </w:r>
    </w:p>
    <w:p w14:paraId="4A927A26">
      <w:pPr>
        <w:pStyle w:val="5"/>
      </w:pPr>
      <w:r>
        <w:rPr>
          <w:rFonts w:ascii="黑体" w:hAnsi="黑体"/>
          <w:color w:val="000000"/>
        </w:rPr>
        <w:t>4.2 VibraImage白盒前庭振动分析</w:t>
      </w:r>
    </w:p>
    <w:p w14:paraId="4B7CA18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区别于当前主流的黑盒深度学习情绪识别方案，本项目的VibraImage前庭振动引擎基于Minkin专著中的公开公式体系，实现了12维E1-E12参数的完整计算。每个参数都有明确的物理含义和生理解释，具有白盒算法的可解释性优势。10,266人常模数据库的引入使得K值指标具有统计意义上的客观基准。YOLOv8→Haar Cascade的降级策略保证引擎容错性。</w:t>
      </w:r>
    </w:p>
    <w:p w14:paraId="43185AD8">
      <w:pPr>
        <w:pStyle w:val="5"/>
      </w:pPr>
      <w:r>
        <w:rPr>
          <w:rFonts w:ascii="黑体" w:hAnsi="黑体"/>
          <w:color w:val="000000"/>
        </w:rPr>
        <w:t>4.3 医疗大模型的垂直场景应用</w:t>
      </w:r>
    </w:p>
    <w:p w14:paraId="2307CF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灵枢Lingshu-32B作为32B参数级别的医疗大模型，在心理学和医学领域的推理能力优于同等规模的通用大模型。本项目将其应用于AIGC心理健康内容生成场景，包括心理评估报告、个性化干预方案、家校沟通函等专业内容，充分挖掘了医疗大模型在垂直领域的优势和潜力。三级措辞的家校沟通函设计（温和-关注-紧急）保证了沟通的专业性和安全性。</w:t>
      </w:r>
    </w:p>
    <w:p w14:paraId="01180D59">
      <w:pPr>
        <w:pStyle w:val="5"/>
      </w:pPr>
      <w:r>
        <w:rPr>
          <w:rFonts w:ascii="黑体" w:hAnsi="黑体"/>
          <w:color w:val="000000"/>
        </w:rPr>
        <w:t>4.4 真正的多智能体协作</w:t>
      </w:r>
    </w:p>
    <w:p w14:paraId="6E269A2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不同于简单的LLM Prompt Chain或多步骤调用，本项目实现了5个独立ReAct Agent的真协作业：每个Agent有明确的职责边界、独立的推理循环（Thought→Action→Observation→Final Answer）、绑定的专业工具集。协调智能体负责跨Agent的消息传递、结果汇总和工作流编排。SSE流式推送使前端可实时观察整个协作过程，实现了可观测的Multi-Agent协作。</w:t>
      </w:r>
    </w:p>
    <w:p w14:paraId="6A811402">
      <w:pPr>
        <w:pStyle w:val="5"/>
      </w:pPr>
      <w:r>
        <w:rPr>
          <w:rFonts w:ascii="黑体" w:hAnsi="黑体"/>
          <w:color w:val="000000"/>
        </w:rPr>
        <w:t>4.5 产品级完整度</w:t>
      </w:r>
    </w:p>
    <w:p w14:paraId="53D42CB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项目覆盖了从前端（Vue 3 + ECharts可视化仪表盘）到后端（FastAPI + LangGraph）、从数据库（SQLAlchemy ORM）到部署（Docker + docker-compose）、从API文档（中文Swagger UI）到自动化测试（56项全通过）的全栈工程实践，具备产品级完整度。</w:t>
      </w:r>
    </w:p>
    <w:p w14:paraId="095B0867">
      <w:pPr>
        <w:pStyle w:val="5"/>
      </w:pPr>
      <w:r>
        <w:rPr>
          <w:rFonts w:ascii="黑体" w:hAnsi="黑体"/>
          <w:color w:val="000000"/>
        </w:rPr>
        <w:t>4.6 三级预警全渠道闭环</w:t>
      </w:r>
    </w:p>
    <w:p w14:paraId="4D22012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建立了绿/黄/红三级预警体系，7个反馈渠道按风险等级自动匹配。红色预警自动触发P0紧急工单生成、全渠道通知和心理教师分配，形成从"发现→分析→报告→预警→反馈→干预"的完整闭环。</w:t>
      </w:r>
    </w:p>
    <w:p w14:paraId="2AD811B2">
      <w:pPr>
        <w:pBdr>
          <w:bottom w:val="single" w:color="000000" w:sz="6" w:space="4"/>
        </w:pBdr>
      </w:pPr>
    </w:p>
    <w:p w14:paraId="7E127D5B">
      <w:pPr>
        <w:pStyle w:val="4"/>
      </w:pPr>
      <w:r>
        <w:rPr>
          <w:rFonts w:ascii="黑体" w:hAnsi="黑体"/>
          <w:color w:val="000000"/>
        </w:rPr>
        <w:t>5 总结与展望</w:t>
      </w:r>
    </w:p>
    <w:p w14:paraId="21284549">
      <w:pPr>
        <w:pStyle w:val="5"/>
      </w:pPr>
      <w:r>
        <w:rPr>
          <w:rFonts w:ascii="黑体" w:hAnsi="黑体"/>
          <w:color w:val="000000"/>
        </w:rPr>
        <w:t>5.1 总结</w:t>
      </w:r>
    </w:p>
    <w:p w14:paraId="2EE2372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本项目"心镜·AIGC智能体平台"成功构建了一个部署在智慧教室环境中的AI心理健康管理系统。项目以沐曦MetaX GPU国产算力为底座，搭载灵枢Lingshu-32B医疗大模型，集成VibraImage前庭振动识别引擎，通过5智能体协作架构实现了从双模态情绪感知到AIGC心理内容生成的全流程智能化。</w:t>
      </w:r>
    </w:p>
    <w:p w14:paraId="558F891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项目的主要成果包括：</w:t>
      </w:r>
    </w:p>
    <w:p w14:paraId="3B91198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双模态情绪识别系统</w:t>
      </w:r>
      <w:r>
        <w:rPr>
          <w:rFonts w:ascii="宋体" w:hAnsi="宋体"/>
          <w:b w:val="0"/>
          <w:i w:val="0"/>
          <w:color w:val="000000"/>
          <w:sz w:val="24"/>
        </w:rPr>
        <w:t>：面部微表情与前庭振动的双模态互补，加权融合策略，差异&gt;35%自动复核机制。</w:t>
      </w:r>
    </w:p>
    <w:p w14:paraId="0C5D89B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VibraImage前庭振动引擎</w:t>
      </w:r>
      <w:r>
        <w:rPr>
          <w:rFonts w:ascii="宋体" w:hAnsi="宋体"/>
          <w:b w:val="0"/>
          <w:i w:val="0"/>
          <w:color w:val="000000"/>
          <w:sz w:val="24"/>
        </w:rPr>
        <w:t>：完整实现Minkin专著中的E1-E12参数体系、K值指标、10,266人常模数据库，白盒可解释算法。</w:t>
      </w:r>
    </w:p>
    <w:p w14:paraId="18C54A1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5智能体协作架构</w:t>
      </w:r>
      <w:r>
        <w:rPr>
          <w:rFonts w:ascii="宋体" w:hAnsi="宋体"/>
          <w:b w:val="0"/>
          <w:i w:val="0"/>
          <w:color w:val="000000"/>
          <w:sz w:val="24"/>
        </w:rPr>
        <w:t>：每个Agent独立ReAct推理，灵枢驱动，协调智能体统一调度，SSE流式展示协作全过程。</w:t>
      </w:r>
    </w:p>
    <w:p w14:paraId="3F73159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AIGC内容生成引擎</w:t>
      </w:r>
      <w:r>
        <w:rPr>
          <w:rFonts w:ascii="宋体" w:hAnsi="宋体"/>
          <w:b w:val="0"/>
          <w:i w:val="0"/>
          <w:color w:val="000000"/>
          <w:sz w:val="24"/>
        </w:rPr>
        <w:t>：灵枢大模型驱动的4类AIGC内容生成，模板+LLM填充架构保证输出质量。</w:t>
      </w:r>
    </w:p>
    <w:p w14:paraId="6EC023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5. </w:t>
      </w:r>
      <w:r>
        <w:rPr>
          <w:rFonts w:ascii="宋体" w:hAnsi="宋体"/>
          <w:b/>
          <w:i w:val="0"/>
          <w:color w:val="000000"/>
          <w:sz w:val="24"/>
        </w:rPr>
        <w:t>三级预警多渠道反馈</w:t>
      </w:r>
      <w:r>
        <w:rPr>
          <w:rFonts w:ascii="宋体" w:hAnsi="宋体"/>
          <w:b w:val="0"/>
          <w:i w:val="0"/>
          <w:color w:val="000000"/>
          <w:sz w:val="24"/>
        </w:rPr>
        <w:t>：绿/黄/红三级预警体系，7渠道分级反馈，红色预警自动生成P0工单。</w:t>
      </w:r>
    </w:p>
    <w:p w14:paraId="73CA40D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6. </w:t>
      </w:r>
      <w:r>
        <w:rPr>
          <w:rFonts w:ascii="宋体" w:hAnsi="宋体"/>
          <w:b/>
          <w:i w:val="0"/>
          <w:color w:val="000000"/>
          <w:sz w:val="24"/>
        </w:rPr>
        <w:t>产品级完整度</w:t>
      </w:r>
      <w:r>
        <w:rPr>
          <w:rFonts w:ascii="宋体" w:hAnsi="宋体"/>
          <w:b w:val="0"/>
          <w:i w:val="0"/>
          <w:color w:val="000000"/>
          <w:sz w:val="24"/>
        </w:rPr>
        <w:t>：全栈前后端、Docker部署、中文API文档、56项自动化测试全通过。</w:t>
      </w:r>
    </w:p>
    <w:p w14:paraId="5CA8115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本项目的主要贡献在于：</w:t>
      </w:r>
    </w:p>
    <w:p w14:paraId="30A9FED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技术贡献</w:t>
      </w:r>
      <w:r>
        <w:rPr>
          <w:rFonts w:ascii="宋体" w:hAnsi="宋体"/>
          <w:b w:val="0"/>
          <w:i w:val="0"/>
          <w:color w:val="000000"/>
          <w:sz w:val="24"/>
        </w:rPr>
        <w:t>：展示了国产GPU+国产医疗大模型在垂直场景中的实际落地能力；验证了白盒VibraImage+黑盒深度学习的双模态融合方案的可行性；提出了多Agent协作的AIGC心理健康应用范式。</w:t>
      </w:r>
    </w:p>
    <w:p w14:paraId="41BF164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社会价值</w:t>
      </w:r>
      <w:r>
        <w:rPr>
          <w:rFonts w:ascii="宋体" w:hAnsi="宋体"/>
          <w:b w:val="0"/>
          <w:i w:val="0"/>
          <w:color w:val="000000"/>
          <w:sz w:val="24"/>
        </w:rPr>
        <w:t>：关注青少年心理健康这一重大社会议题，提供了一套可真实部署使用的数字化心理健康管理方案，有助于推动校园心理工作从"被动响应"向"主动预防"的转变。</w:t>
      </w:r>
    </w:p>
    <w:p w14:paraId="2AEFA7A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生态贡献</w:t>
      </w:r>
      <w:r>
        <w:rPr>
          <w:rFonts w:ascii="宋体" w:hAnsi="宋体"/>
          <w:b w:val="0"/>
          <w:i w:val="0"/>
          <w:color w:val="000000"/>
          <w:sz w:val="24"/>
        </w:rPr>
        <w:t>：为沐曦国产GPU+灵枢医疗大模型生态提供了可复用的应用示范，降低了后续开发者在国产算力平台上构建AI应用的门槛。</w:t>
      </w:r>
    </w:p>
    <w:p w14:paraId="426930D7">
      <w:pPr>
        <w:pStyle w:val="5"/>
      </w:pPr>
      <w:r>
        <w:rPr>
          <w:rFonts w:ascii="黑体" w:hAnsi="黑体"/>
          <w:color w:val="000000"/>
        </w:rPr>
        <w:t>5.2 展望</w:t>
      </w:r>
    </w:p>
    <w:p w14:paraId="0D6F4F2B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（1）VibraImage引擎深度优化。</w:t>
      </w:r>
      <w:r>
        <w:rPr>
          <w:rFonts w:ascii="宋体" w:hAnsi="宋体"/>
          <w:b w:val="0"/>
          <w:i w:val="0"/>
          <w:color w:val="000000"/>
          <w:sz w:val="24"/>
        </w:rPr>
        <w:t xml:space="preserve"> 未来计划与心理学实验室合作，收集中国学生群体的前庭振动数据，建立本土化常模数据库，替换现有的10,266人通用常模。同时优化YOLOv8在教室复杂光线条件下的检测精度。</w:t>
      </w:r>
    </w:p>
    <w:p w14:paraId="060D4FE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（2）灵枢大模型微调。</w:t>
      </w:r>
      <w:r>
        <w:rPr>
          <w:rFonts w:ascii="宋体" w:hAnsi="宋体"/>
          <w:b w:val="0"/>
          <w:i w:val="0"/>
          <w:color w:val="000000"/>
          <w:sz w:val="24"/>
        </w:rPr>
        <w:t xml:space="preserve"> 计划基于积累的真实心理健康评估数据，对灵枢Lingshu-32B进行LoRA微调，进一步提升其心理学垂直领域的推理质量，特别是在中文校园心理健康场景下的表现。</w:t>
      </w:r>
    </w:p>
    <w:p w14:paraId="1D97704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（3）端侧部署探索。</w:t>
      </w:r>
      <w:r>
        <w:rPr>
          <w:rFonts w:ascii="宋体" w:hAnsi="宋体"/>
          <w:b w:val="0"/>
          <w:i w:val="0"/>
          <w:color w:val="000000"/>
          <w:sz w:val="24"/>
        </w:rPr>
        <w:t xml:space="preserve"> 研究将VibraImage引擎和部分轻量化模型部署至边缘设备（如智慧教室边缘网关），减少云端依赖，降低隐私数据泄露风险。</w:t>
      </w:r>
    </w:p>
    <w:p w14:paraId="6DDB0D2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（4）多模态扩展。</w:t>
      </w:r>
      <w:r>
        <w:rPr>
          <w:rFonts w:ascii="宋体" w:hAnsi="宋体"/>
          <w:b w:val="0"/>
          <w:i w:val="0"/>
          <w:color w:val="000000"/>
          <w:sz w:val="24"/>
        </w:rPr>
        <w:t xml:space="preserve"> 计划引入语音情感分析和文本情感分析模态，构建"面部+前庭+语音+文本"四模态融合的情绪识别系统，进一步提高识别准确性和场景覆盖度。</w:t>
      </w:r>
    </w:p>
    <w:p w14:paraId="2729E74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（5）真实场景验证。</w:t>
      </w:r>
      <w:r>
        <w:rPr>
          <w:rFonts w:ascii="宋体" w:hAnsi="宋体"/>
          <w:b w:val="0"/>
          <w:i w:val="0"/>
          <w:color w:val="000000"/>
          <w:sz w:val="24"/>
        </w:rPr>
        <w:t xml:space="preserve"> 与中小学合作开展真实场景试点部署，收集长期运行数据，验证系统在真实校园环境中的有效性、稳定性和用户接受度。</w:t>
      </w:r>
    </w:p>
    <w:p w14:paraId="4DD15C7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（6）跨学段推广。</w:t>
      </w:r>
      <w:r>
        <w:rPr>
          <w:rFonts w:ascii="宋体" w:hAnsi="宋体"/>
          <w:b w:val="0"/>
          <w:i w:val="0"/>
          <w:color w:val="000000"/>
          <w:sz w:val="24"/>
        </w:rPr>
        <w:t xml:space="preserve"> 将应用范围从中小学扩展至大学和学前教育阶段，根据各学段学生心理特点调整指标体系和干预策略。</w:t>
      </w:r>
    </w:p>
    <w:p w14:paraId="710DAB46">
      <w:pPr>
        <w:pBdr>
          <w:bottom w:val="single" w:color="000000" w:sz="6" w:space="4"/>
        </w:pBdr>
      </w:pPr>
    </w:p>
    <w:p w14:paraId="58F7DA66">
      <w:pPr>
        <w:pStyle w:val="4"/>
      </w:pPr>
      <w:r>
        <w:rPr>
          <w:rFonts w:ascii="黑体" w:hAnsi="黑体"/>
          <w:color w:val="000000"/>
        </w:rPr>
        <w:t>6 参考文献</w:t>
      </w:r>
    </w:p>
    <w:p w14:paraId="19AC06E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[1] Minkin, V. (2020). Vibraimage, Cybernetics and Emotions. Elsys Corp.</w:t>
      </w:r>
    </w:p>
    <w:p w14:paraId="3260FCE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[2] Minkin, V. A., &amp; Nikolaenko, N. N. (2008). Application of Vibraimage Technology and System for Analysis of Motor Activity and Study of Functional State of the Human Body. Biomedical Engineering, 42(4), 196-200.</w:t>
      </w:r>
    </w:p>
    <w:p w14:paraId="26FCA58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[3] Minkin, V. (2017). Vibraimage. Handbook of Psychophysiology, 4th Edition. Cambridge University Press.</w:t>
      </w:r>
    </w:p>
    <w:p w14:paraId="2B45E2A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[4] Ekman, P., &amp; Friesen, W. V. (1978). Facial Action Coding System: A Technique for the Measurement of Facial Movement. Consulting Psychologists Press.</w:t>
      </w:r>
    </w:p>
    <w:p w14:paraId="777246A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[5] Russell, J. A. (1980). A circumplex model of affect. Journal of Personality and Social Psychology, 39(6), 1161-1178.</w:t>
      </w:r>
    </w:p>
    <w:p w14:paraId="7DE1CEB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[6] Shatte, A. B., Hutchinson, D. M., &amp; Teague, S. J. (2019). Machine learning in mental health: a scoping review of methods and applications. Psychological Medicine, 49(9), 1426-1448.</w:t>
      </w:r>
    </w:p>
    <w:p w14:paraId="3B35416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[7] Guntuku, S. C., Yaden, D. B., Kern, M. L., Ungar, L. H., &amp; Eichstaedt, J. C. (2017). Detecting depression and mental illness on social media: an integrative review. Current Opinion in Behavioral Sciences, 18, 43-49.</w:t>
      </w:r>
    </w:p>
    <w:p w14:paraId="0BF0E73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[8] Lopes, A. T., de Aguiar, E., De Souza, A. F., &amp; Oliveira-Santos, T. (2017). Facial expression recognition with Convolutional Neural Networks: Coping with few data and the training sample order. Pattern Recognition, 61, 610-628.</w:t>
      </w:r>
    </w:p>
    <w:p w14:paraId="4E8D3C3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[9] Wang, K., Peng, X., Yang, J., Lu, S., &amp; Qiao, Y. (2020). Suppressing uncertainties for large-scale facial expression recognition. CVPR 2020.</w:t>
      </w:r>
    </w:p>
    <w:p w14:paraId="7D69BB8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[10] Poria, S., Cambria, E., Bajpai, R., &amp; Hussain, A. (2017). A review of affective computing: From unimodal analysis to multimodal fusion. Information Fusion, 37, 98-125.</w:t>
      </w:r>
    </w:p>
    <w:p w14:paraId="4CE546F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[11] Tzirakis, P., Trigeorgis, G., Nicolaou, M. A., Schuller, B. W., &amp; Zafeiriou, S. (2017). End-to-end multimodal emotion recognition using deep neural networks. IEEE Journal of Selected Topics in Signal Processing, 11(8), 1301-1309.</w:t>
      </w:r>
    </w:p>
    <w:p w14:paraId="4D63EE7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[12] Vaswani, A., Shazeer, N., Parmar, N., Uszkoreit, J., Jones, L., Gomez, A. N., Kaiser, Ł., &amp; Polosukhin, I. (2017). Attention is all you need. NeurIPS 2017.</w:t>
      </w:r>
    </w:p>
    <w:p w14:paraId="06E14DA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[13] Hochreiter, S., &amp; Schmidhuber, J. (1997). Long short-term memory. Neural Computation, 9(8), 1735-1780.</w:t>
      </w:r>
    </w:p>
    <w:p w14:paraId="6DC0915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[14] Yao, S., Zhao, J., Yu, D., Du, N., Shafran, I., Narasimhan, K., &amp; Cao, Y. (2023). ReAct: Synergizing Reasoning and Acting in Language Models. ICLR 2023.</w:t>
      </w:r>
    </w:p>
    <w:p w14:paraId="0EE344E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[15] Wang, L., Ma, C., Feng, X., Zhang, Z., Yang, H., Zhang, J., ... &amp; Wen, J. R. (2023). A survey on large language model based autonomous agents. arXiv preprint arXiv:2308.11432.</w:t>
      </w:r>
    </w:p>
    <w:p w14:paraId="7DDE9EE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[16] Park, J. S., O'Brien, J. C., Cai, C. J., Morris, M. R., Liang, P., &amp; Bernstein, M. S. (2023). Generative agents: Interactive simulacra of human behavior. UIST 2023.</w:t>
      </w:r>
    </w:p>
    <w:p w14:paraId="69510E5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[17] Chase, H. (2022). LangChain: Building applications with LLMs through composability. GitHub.</w:t>
      </w:r>
    </w:p>
    <w:p w14:paraId="34B32C4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[18] Touvron, H., Lavril, T., Izacard, G., Martinet, X., Lachaux, M. A., Lacroix, T., ... &amp; Lample, G. (2023). LLaMA: Open and efficient foundation language models. arXiv preprint arXiv:2302.13971.</w:t>
      </w:r>
    </w:p>
    <w:p w14:paraId="3BF77D9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[19] Radford, A., Kim, J. W., Hallacy, C., Ramesh, A., Goh, G., Agarwal, S., ... &amp; Sutskever, I. (2021). Learning transferable visual models from natural language supervision. ICML 2021.</w:t>
      </w:r>
    </w:p>
    <w:p w14:paraId="41558A3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[20] Jocher, G., Chaurasia, A., &amp; Qiu, J. (2023). Ultralytics YOLOv8. GitHub.</w:t>
      </w:r>
    </w:p>
    <w:p w14:paraId="2081E20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[21] Viola, P., &amp; Jones, M. (2001). Rapid object detection using a boosted cascade of simple features. CVPR 2001.</w:t>
      </w:r>
    </w:p>
    <w:p w14:paraId="0DF4CDD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[22] Devlin, J., Chang, M. W., Lee, K., &amp; Toutanova, K. (2019). BERT: Pre-training of deep bidirectional transformers for language understanding. NAACL 2019.</w:t>
      </w:r>
    </w:p>
    <w:p w14:paraId="4F55FAC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[23] Brown, T. B., Mann, B., Ryder, N., Subbiah, M., Kaplan, J., Dhariwal, P., ... &amp; Amodei, D. (2020). Language models are few-shot learners. NeurIPS 2020.</w:t>
      </w:r>
    </w:p>
    <w:p w14:paraId="7B32C93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[24] Wei, J., Wang, X., Schuurmans, D., Bosma, M., Ichter, B., Xia, F., ... &amp; Zhou, D. (2022). Chain-of-thought prompting elicits reasoning in large language models. NeurIPS 2022.</w:t>
      </w:r>
    </w:p>
    <w:p w14:paraId="26BF0166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[25] 中国科学院心理研究所. (2022). 中国国民心理健康发展报告(2021-2022). 社会科学文献出版社.</w:t>
      </w:r>
    </w:p>
    <w:p w14:paraId="16D65FF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[26] 教育部等十七部门. (2023). 全面加强和改进新时代学生心理健康工作专项行动计划（2023-2025年）.</w:t>
      </w:r>
    </w:p>
    <w:p w14:paraId="776D8B7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[27] 艾瑞咨询. (2022). 中国心理健康服务行业研究报告.</w:t>
      </w:r>
    </w:p>
    <w:p w14:paraId="07EECCF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[28] Hu, E. J., Shen, Y., Wallis, P., Allen-Zhu, Z., Li, Y., Wang, S., ... &amp; Chen, W. (2022). LoRA: Low-rank adaptation of large language models. ICLR 2022.</w:t>
      </w:r>
    </w:p>
    <w:p w14:paraId="64EA281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[29] Ouyang, L., Wu, J., Jiang, X., Almeida, D., Wainwright, C. L., Mishkin, P., ... &amp; Lowe, R. (2022). Training language models to follow instructions with human feedback. NeurIPS 2022.</w:t>
      </w:r>
    </w:p>
    <w:p w14:paraId="522DED86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[30] Beck, A. T. (1979). Cognitive Therapy and the Emotional Disorders. Penguin Books.</w:t>
      </w:r>
    </w:p>
    <w:p w14:paraId="0909721F">
      <w:pPr>
        <w:pBdr>
          <w:bottom w:val="single" w:color="000000" w:sz="6" w:space="4"/>
        </w:pBdr>
      </w:pPr>
    </w:p>
    <w:p w14:paraId="400D821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*本技术报告为第八届CCF开源创新大赛 · 国产开源GPU AI创新生态赛 任务三参赛作品*</w:t>
      </w:r>
    </w:p>
    <w:p w14:paraId="630DDC1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*算力支持：沐曦MetaX GPU + 灵枢Lingshu-32B医疗大模型*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3A0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3061</Words>
  <Characters>4079</Characters>
  <Lines>0</Lines>
  <Paragraphs>0</Paragraphs>
  <TotalTime>1</TotalTime>
  <ScaleCrop>false</ScaleCrop>
  <LinksUpToDate>false</LinksUpToDate>
  <CharactersWithSpaces>4671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2026-07-10T09:39:15Z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842AD19986D944F7893E2DD1B7CE6E25_12</vt:lpwstr>
  </property>
</Properties>
</file>