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oto Sans CJK SC" w:hAnsi="Noto Sans CJK SC" w:eastAsia="Noto Sans CJK SC" w:cs="Noto Sans CJK SC"/>
          <w:b/>
          <w:color w:val="1F4E79"/>
          <w:sz w:val="50"/>
        </w:rPr>
        <w:t>月球轨道 10 年长弧积分误差</w:t>
      </w:r>
    </w:p>
    <w:p>
      <w:pPr>
        <w:jc w:val="center"/>
      </w:pPr>
      <w:r>
        <w:rPr>
          <w:rFonts w:ascii="Noto Sans CJK SC" w:hAnsi="Noto Sans CJK SC" w:eastAsia="Noto Sans CJK SC" w:cs="Noto Sans CJK SC"/>
          <w:b/>
          <w:color w:val="1F2933"/>
          <w:sz w:val="42"/>
        </w:rPr>
        <w:t>诊断分析与验证方案</w:t>
      </w:r>
    </w:p>
    <w:p/>
    <w:p>
      <w:pPr>
        <w:jc w:val="center"/>
      </w:pPr>
      <w:r>
        <w:rPr>
          <w:rFonts w:ascii="Noto Sans CJK SC" w:hAnsi="Noto Sans CJK SC" w:eastAsia="Noto Sans CJK SC" w:cs="Noto Sans CJK SC"/>
          <w:color w:val="666666"/>
          <w:sz w:val="24"/>
        </w:rPr>
        <w:t>针对 modified ABMD 13 阶 / 5400 s 固定步长实现</w:t>
      </w:r>
    </w:p>
    <w:p/>
    <w:p/>
    <w:tbl>
      <w:tblPr>
        <w:tblW w:type="auto" w:w="0"/>
        <w:jc w:val="center"/>
        <w:tblLayout w:type="autofit"/>
        <w:tblLook w:firstColumn="1" w:firstRow="1" w:lastColumn="0" w:lastRow="0" w:noHBand="0" w:noVBand="1" w:val="04A0"/>
      </w:tblPr>
      <w:tblGrid>
        <w:gridCol w:w="9412"/>
      </w:tblGrid>
      <w:tr>
        <w:tc>
          <w:tcPr>
            <w:tcW w:type="dxa" w:w="9412"/>
            <w:shd w:fill="EAF2F8"/>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核心结论</w:t>
            </w:r>
          </w:p>
          <w:p>
            <w:pPr>
              <w:spacing w:after="0" w:line="300" w:lineRule="auto"/>
            </w:pPr>
            <w:r>
              <w:rPr>
                <w:rFonts w:ascii="Noto Sans CJK SC" w:hAnsi="Noto Sans CJK SC" w:eastAsia="Noto Sans CJK SC" w:cs="Noto Sans CJK SC"/>
                <w:sz w:val="20"/>
              </w:rPr>
              <w:t>当前证据不支持把 10 年约 15 m 的误差直接归因于 float64 精度不足，也不足以说明 ABM13/5400 s 方法本身不适合月球长弧积分。优先需要区分两大类原因：① ABMD / 延迟历史实现的长弧数值误差；② 当前动力学模型与 DE440 的长期项不完全一致。</w:t>
            </w:r>
          </w:p>
        </w:tc>
      </w:tr>
    </w:tbl>
    <w:p>
      <w:pPr>
        <w:spacing w:after="0"/>
      </w:pPr>
    </w:p>
    <w:p>
      <w:pPr>
        <w:spacing w:before="360"/>
        <w:jc w:val="center"/>
      </w:pPr>
      <w:r>
        <w:rPr>
          <w:rFonts w:ascii="Noto Sans CJK SC" w:hAnsi="Noto Sans CJK SC" w:eastAsia="Noto Sans CJK SC" w:cs="Noto Sans CJK SC"/>
          <w:color w:val="666666"/>
          <w:sz w:val="20"/>
        </w:rPr>
        <w:t>项目技术诊断记录 · 2026-09-18</w:t>
      </w:r>
    </w:p>
    <w:p>
      <w:r>
        <w:br w:type="page"/>
      </w:r>
    </w:p>
    <w:p>
      <w:pPr>
        <w:pStyle w:val="Heading1"/>
        <w:keepNext/>
        <w:spacing w:before="200" w:after="100"/>
      </w:pPr>
      <w:r>
        <w:t>1. 执行摘要</w:t>
      </w:r>
    </w:p>
    <w:p>
      <w:pPr>
        <w:spacing w:after="120" w:line="324" w:lineRule="auto"/>
        <w:ind w:firstLine="420"/>
      </w:pPr>
      <w:r>
        <w:rPr>
          <w:rFonts w:ascii="Noto Sans CJK SC" w:hAnsi="Noto Sans CJK SC" w:eastAsia="Noto Sans CJK SC" w:cs="Noto Sans CJK SC"/>
        </w:rPr>
        <w:t>当前正式运行使用 DE440 Earth/Moon GM、DE440 Earth degree-5 静态场、DE440 Moon degree/order-6 静态场、384 个外部天体的 Newtonian 辅助系统，以及 Earth/Moon EIH、潮汐、太阳 J2、Lense–Thirring 和 SRP；主积分器为 modified ABMD，13 阶，固定步长 5400 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vAlign w:val="center"/>
            <w:shd w:fill="1F4E79"/>
          </w:tcPr>
          <w:p>
            <w:r>
              <w:rPr>
                <w:rFonts w:ascii="Noto Sans CJK SC" w:hAnsi="Noto Sans CJK SC" w:eastAsia="Noto Sans CJK SC" w:cs="Noto Sans CJK SC"/>
                <w:b/>
                <w:color w:val="FFFFFF"/>
                <w:sz w:val="18"/>
              </w:rPr>
              <w:t>指标</w:t>
            </w:r>
          </w:p>
        </w:tc>
        <w:tc>
          <w:tcPr>
            <w:tcW w:type="dxa" w:w="3118"/>
            <w:vAlign w:val="center"/>
            <w:shd w:fill="1F4E79"/>
          </w:tcPr>
          <w:p>
            <w:r>
              <w:rPr>
                <w:rFonts w:ascii="Noto Sans CJK SC" w:hAnsi="Noto Sans CJK SC" w:eastAsia="Noto Sans CJK SC" w:cs="Noto Sans CJK SC"/>
                <w:b/>
                <w:color w:val="FFFFFF"/>
                <w:sz w:val="18"/>
              </w:rPr>
              <w:t>5 年</w:t>
            </w:r>
          </w:p>
        </w:tc>
        <w:tc>
          <w:tcPr>
            <w:tcW w:type="dxa" w:w="3118"/>
            <w:vAlign w:val="center"/>
            <w:shd w:fill="1F4E79"/>
          </w:tcPr>
          <w:p>
            <w:r>
              <w:rPr>
                <w:rFonts w:ascii="Noto Sans CJK SC" w:hAnsi="Noto Sans CJK SC" w:eastAsia="Noto Sans CJK SC" w:cs="Noto Sans CJK SC"/>
                <w:b/>
                <w:color w:val="FFFFFF"/>
                <w:sz w:val="18"/>
              </w:rPr>
              <w:t>10 年</w:t>
            </w:r>
          </w:p>
        </w:tc>
      </w:tr>
      <w:tr>
        <w:tc>
          <w:tcPr>
            <w:tcW w:type="dxa" w:w="2041"/>
            <w:vAlign w:val="center"/>
          </w:tcPr>
          <w:p>
            <w:r>
              <w:rPr>
                <w:rFonts w:ascii="Noto Sans CJK SC" w:hAnsi="Noto Sans CJK SC" w:eastAsia="Noto Sans CJK SC" w:cs="Noto Sans CJK SC"/>
                <w:b w:val="0"/>
                <w:color w:val="1F2933"/>
                <w:sz w:val="18"/>
              </w:rPr>
              <w:t>RTN RMS</w:t>
            </w:r>
          </w:p>
        </w:tc>
        <w:tc>
          <w:tcPr>
            <w:tcW w:type="dxa" w:w="3118"/>
            <w:vAlign w:val="center"/>
          </w:tcPr>
          <w:p>
            <w:r>
              <w:rPr>
                <w:rFonts w:ascii="Noto Sans CJK SC" w:hAnsi="Noto Sans CJK SC" w:eastAsia="Noto Sans CJK SC" w:cs="Noto Sans CJK SC"/>
                <w:b w:val="0"/>
                <w:color w:val="1F2933"/>
                <w:sz w:val="18"/>
              </w:rPr>
              <w:t>[0.095, 0.998, 0.006] m</w:t>
            </w:r>
          </w:p>
        </w:tc>
        <w:tc>
          <w:tcPr>
            <w:tcW w:type="dxa" w:w="3118"/>
            <w:vAlign w:val="center"/>
          </w:tcPr>
          <w:p>
            <w:r>
              <w:rPr>
                <w:rFonts w:ascii="Noto Sans CJK SC" w:hAnsi="Noto Sans CJK SC" w:eastAsia="Noto Sans CJK SC" w:cs="Noto Sans CJK SC"/>
                <w:b w:val="0"/>
                <w:color w:val="1F2933"/>
                <w:sz w:val="18"/>
              </w:rPr>
              <w:t>[0.394, 4.765, 0.023] m</w:t>
            </w:r>
          </w:p>
        </w:tc>
      </w:tr>
      <w:tr>
        <w:tc>
          <w:tcPr>
            <w:tcW w:type="dxa" w:w="2041"/>
            <w:vAlign w:val="center"/>
            <w:shd w:fill="F3F5F7"/>
          </w:tcPr>
          <w:p>
            <w:r>
              <w:rPr>
                <w:rFonts w:ascii="Noto Sans CJK SC" w:hAnsi="Noto Sans CJK SC" w:eastAsia="Noto Sans CJK SC" w:cs="Noto Sans CJK SC"/>
                <w:b w:val="0"/>
                <w:color w:val="1F2933"/>
                <w:sz w:val="18"/>
              </w:rPr>
              <w:t>RTN MaxAbs</w:t>
            </w:r>
          </w:p>
        </w:tc>
        <w:tc>
          <w:tcPr>
            <w:tcW w:type="dxa" w:w="3118"/>
            <w:vAlign w:val="center"/>
            <w:shd w:fill="F3F5F7"/>
          </w:tcPr>
          <w:p>
            <w:r>
              <w:rPr>
                <w:rFonts w:ascii="Noto Sans CJK SC" w:hAnsi="Noto Sans CJK SC" w:eastAsia="Noto Sans CJK SC" w:cs="Noto Sans CJK SC"/>
                <w:b w:val="0"/>
                <w:color w:val="1F2933"/>
                <w:sz w:val="18"/>
              </w:rPr>
              <w:t>[0.294, 1.749, 0.022] m</w:t>
            </w:r>
          </w:p>
        </w:tc>
        <w:tc>
          <w:tcPr>
            <w:tcW w:type="dxa" w:w="3118"/>
            <w:vAlign w:val="center"/>
            <w:shd w:fill="F3F5F7"/>
          </w:tcPr>
          <w:p>
            <w:r>
              <w:rPr>
                <w:rFonts w:ascii="Noto Sans CJK SC" w:hAnsi="Noto Sans CJK SC" w:eastAsia="Noto Sans CJK SC" w:cs="Noto Sans CJK SC"/>
                <w:b w:val="0"/>
                <w:color w:val="1F2933"/>
                <w:sz w:val="18"/>
              </w:rPr>
              <w:t>[1.569, 15.225, 0.063] m</w:t>
            </w:r>
          </w:p>
        </w:tc>
      </w:tr>
      <w:tr>
        <w:tc>
          <w:tcPr>
            <w:tcW w:type="dxa" w:w="2041"/>
            <w:vAlign w:val="center"/>
          </w:tcPr>
          <w:p>
            <w:r>
              <w:rPr>
                <w:rFonts w:ascii="Noto Sans CJK SC" w:hAnsi="Noto Sans CJK SC" w:eastAsia="Noto Sans CJK SC" w:cs="Noto Sans CJK SC"/>
                <w:b w:val="0"/>
                <w:color w:val="1F2933"/>
                <w:sz w:val="18"/>
              </w:rPr>
              <w:t>最终 RTN</w:t>
            </w:r>
          </w:p>
        </w:tc>
        <w:tc>
          <w:tcPr>
            <w:tcW w:type="dxa" w:w="3118"/>
            <w:vAlign w:val="center"/>
          </w:tcPr>
          <w:p>
            <w:r>
              <w:rPr>
                <w:rFonts w:ascii="Noto Sans CJK SC" w:hAnsi="Noto Sans CJK SC" w:eastAsia="Noto Sans CJK SC" w:cs="Noto Sans CJK SC"/>
                <w:b w:val="0"/>
                <w:color w:val="1F2933"/>
                <w:sz w:val="18"/>
              </w:rPr>
              <w:t>—</w:t>
            </w:r>
          </w:p>
        </w:tc>
        <w:tc>
          <w:tcPr>
            <w:tcW w:type="dxa" w:w="3118"/>
            <w:vAlign w:val="center"/>
          </w:tcPr>
          <w:p>
            <w:r>
              <w:rPr>
                <w:rFonts w:ascii="Noto Sans CJK SC" w:hAnsi="Noto Sans CJK SC" w:eastAsia="Noto Sans CJK SC" w:cs="Noto Sans CJK SC"/>
                <w:b w:val="0"/>
                <w:color w:val="1F2933"/>
                <w:sz w:val="18"/>
              </w:rPr>
              <w:t>[-1.398, 14.504, 0.023] m</w:t>
            </w:r>
          </w:p>
        </w:tc>
      </w:tr>
    </w:tbl>
    <w:p>
      <w:pPr>
        <w:spacing w:after="0"/>
      </w:pPr>
    </w:p>
    <w:tbl>
      <w:tblPr>
        <w:tblW w:type="auto" w:w="0"/>
        <w:jc w:val="center"/>
        <w:tblLayout w:type="autofit"/>
        <w:tblLook w:firstColumn="1" w:firstRow="1" w:lastColumn="0" w:lastRow="0" w:noHBand="0" w:noVBand="1" w:val="04A0"/>
      </w:tblPr>
      <w:tblGrid>
        <w:gridCol w:w="9412"/>
      </w:tblGrid>
      <w:tr>
        <w:tc>
          <w:tcPr>
            <w:tcW w:type="dxa" w:w="9412"/>
            <w:shd w:fill="D9EAF7"/>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最重要的现象</w:t>
            </w:r>
          </w:p>
          <w:p>
            <w:pPr>
              <w:spacing w:after="0" w:line="300" w:lineRule="auto"/>
            </w:pPr>
            <w:r>
              <w:rPr>
                <w:rFonts w:ascii="Noto Sans CJK SC" w:hAnsi="Noto Sans CJK SC" w:eastAsia="Noto Sans CJK SC" w:cs="Noto Sans CJK SC"/>
                <w:sz w:val="20"/>
              </w:rPr>
              <w:t>误差高度集中在切向 T 分量，而法向 N 始终很小。这种 T-dominated 的残差更像平均运动、长期摄动或耗散模型中的微小系统偏差被时间放大，而不像三个方向都随机扩散的纯机器舍入噪声。</w:t>
            </w:r>
          </w:p>
        </w:tc>
      </w:tr>
    </w:tbl>
    <w:p>
      <w:pPr>
        <w:spacing w:after="0"/>
      </w:pPr>
    </w:p>
    <w:p>
      <w:pPr>
        <w:spacing w:after="120" w:line="324" w:lineRule="auto"/>
        <w:ind w:firstLine="420"/>
      </w:pPr>
      <w:r>
        <w:rPr>
          <w:rFonts w:ascii="Noto Sans CJK SC" w:hAnsi="Noto Sans CJK SC" w:eastAsia="Noto Sans CJK SC" w:cs="Noto Sans CJK SC"/>
        </w:rPr>
        <w:t>现阶段建议不要先把整个程序改成 long double 或 quad precision。信息量最高的实验是：10 年 ABMD 步长收敛、完全相同 RHS 的 DOP853 交叉积分、关闭 delay/tide 后的 forward-backward 测试，以及 backward-difference table 的全量重建测试。</w:t>
      </w:r>
    </w:p>
    <w:p>
      <w:pPr>
        <w:pStyle w:val="Heading1"/>
        <w:keepNext/>
        <w:spacing w:before="200" w:after="100"/>
      </w:pPr>
      <w:r>
        <w:t>2. 为什么目前不像“float64 本身不够”</w:t>
      </w:r>
    </w:p>
    <w:p>
      <w:pPr>
        <w:spacing w:after="120" w:line="324" w:lineRule="auto"/>
        <w:ind w:firstLine="420"/>
      </w:pPr>
      <w:r>
        <w:rPr>
          <w:rFonts w:ascii="Noto Sans CJK SC" w:hAnsi="Noto Sans CJK SC" w:eastAsia="Noto Sans CJK SC" w:cs="Noto Sans CJK SC"/>
        </w:rPr>
        <w:t>IEEE 754 双精度的机器精度约为：</w:t>
      </w:r>
    </w:p>
    <w:p>
      <w:pPr>
        <w:spacing w:before="100" w:after="140"/>
        <w:jc w:val="center"/>
      </w:pPr>
      <w:r>
        <w:rPr>
          <w:rFonts w:ascii="Noto Serif CJK SC" w:hAnsi="Noto Serif CJK SC" w:eastAsia="Noto Serif CJK SC" w:cs="Noto Serif CJK SC"/>
          <w:sz w:val="22"/>
        </w:rPr>
        <w:t>ε ≈ 2.22 × 10⁻¹⁶</w:t>
      </w:r>
    </w:p>
    <w:p>
      <w:pPr>
        <w:spacing w:after="120" w:line="324" w:lineRule="auto"/>
        <w:ind w:firstLine="420"/>
      </w:pPr>
      <w:r>
        <w:rPr>
          <w:rFonts w:ascii="Noto Sans CJK SC" w:hAnsi="Noto Sans CJK SC" w:eastAsia="Noto Sans CJK SC" w:cs="Noto Sans CJK SC"/>
        </w:rPr>
        <w:t>若以 1 AU ≈ 1.5 × 10¹¹ m 的绝对坐标尺度估算，一个 ulp 的量级约为：</w:t>
      </w:r>
    </w:p>
    <w:p>
      <w:pPr>
        <w:spacing w:before="100" w:after="140"/>
        <w:jc w:val="center"/>
      </w:pPr>
      <w:r>
        <w:rPr>
          <w:rFonts w:ascii="Noto Serif CJK SC" w:hAnsi="Noto Serif CJK SC" w:eastAsia="Noto Serif CJK SC" w:cs="Noto Serif CJK SC"/>
          <w:sz w:val="22"/>
        </w:rPr>
        <w:t>ε × 1 AU ≈ 3.3 × 10⁻⁵ m</w:t>
      </w:r>
    </w:p>
    <w:p>
      <w:pPr>
        <w:spacing w:after="120" w:line="324" w:lineRule="auto"/>
        <w:ind w:firstLine="420"/>
      </w:pPr>
      <w:r>
        <w:rPr>
          <w:rFonts w:ascii="Noto Sans CJK SC" w:hAnsi="Noto Sans CJK SC" w:eastAsia="Noto Sans CJK SC" w:cs="Noto Sans CJK SC"/>
        </w:rPr>
        <w:t>即数十微米；在地月距离尺度，绝对分辨率还会更小。10 年、5400 s 固定步长对应的主步数约为：</w:t>
      </w:r>
    </w:p>
    <w:p>
      <w:pPr>
        <w:spacing w:before="100" w:after="140"/>
        <w:jc w:val="center"/>
      </w:pPr>
      <w:r>
        <w:rPr>
          <w:rFonts w:ascii="Noto Serif CJK SC" w:hAnsi="Noto Serif CJK SC" w:eastAsia="Noto Serif CJK SC" w:cs="Noto Serif CJK SC"/>
          <w:sz w:val="22"/>
        </w:rPr>
        <w:t>N ≈ 10 × 365.25 × 86400 / 5400 ≈ 5.84 × 10⁴</w:t>
      </w:r>
    </w:p>
    <w:p>
      <w:pPr>
        <w:spacing w:after="120" w:line="324" w:lineRule="auto"/>
        <w:ind w:firstLine="420"/>
      </w:pPr>
      <w:r>
        <w:rPr>
          <w:rFonts w:ascii="Noto Sans CJK SC" w:hAnsi="Noto Sans CJK SC" w:eastAsia="Noto Sans CJK SC" w:cs="Noto Sans CJK SC"/>
        </w:rPr>
        <w:t>即便用非常保守的“每步出现一个 1 AU 尺度 ulp 且随机累积”作为量级判断，按 √N 增长也更接近毫米到厘米，而不是十几米。这不是严格的轨道误差上界，因为微小能量或相位误差会被动力学长期放大；但它足以说明：看到 15 m 误差后，不能直接得出“float64 位数不够”的结论。</w:t>
      </w:r>
    </w:p>
    <w:tbl>
      <w:tblPr>
        <w:tblW w:type="auto" w:w="0"/>
        <w:jc w:val="center"/>
        <w:tblLayout w:type="autofit"/>
        <w:tblLook w:firstColumn="1" w:firstRow="1" w:lastColumn="0" w:lastRow="0" w:noHBand="0" w:noVBand="1" w:val="04A0"/>
      </w:tblPr>
      <w:tblGrid>
        <w:gridCol w:w="9412"/>
      </w:tblGrid>
      <w:tr>
        <w:tc>
          <w:tcPr>
            <w:tcW w:type="dxa" w:w="9412"/>
            <w:shd w:fill="D9EAF7"/>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文献对照</w:t>
            </w:r>
          </w:p>
          <w:p>
            <w:pPr>
              <w:spacing w:after="0" w:line="300" w:lineRule="auto"/>
            </w:pPr>
            <w:r>
              <w:rPr>
                <w:rFonts w:ascii="Noto Sans CJK SC" w:hAnsi="Noto Sans CJK SC" w:eastAsia="Noto Sans CJK SC" w:cs="Noto Sans CJK SC"/>
                <w:sz w:val="20"/>
              </w:rPr>
              <w:t>Aksim 与 Pavlov 的 ABMD 实现使用 Adams–Bashforth–Moulton PECEC、13 阶、hABM = 1/16 day = 5400 s；启动阶段使用 8 阶 Dormand–Prince，并令 hDP = hABM/8 = 675 s。论文还用完整月球方程进行了约 30 年 forward-backward 测试，并报告其数值精度满足当时约 2 mm 的地月测距水平。因此，“ABM13 + 5400 s + double”并不存在显而易见的方法级硬伤。</w:t>
            </w:r>
          </w:p>
        </w:tc>
      </w:tr>
    </w:tbl>
    <w:p>
      <w:pPr>
        <w:spacing w:after="0"/>
      </w:pPr>
    </w:p>
    <w:p>
      <w:pPr>
        <w:spacing w:after="120" w:line="324" w:lineRule="auto"/>
        <w:ind w:firstLine="420"/>
      </w:pPr>
      <w:r>
        <w:rPr>
          <w:rFonts w:ascii="Noto Sans CJK SC" w:hAnsi="Noto Sans CJK SC" w:eastAsia="Noto Sans CJK SC" w:cs="Noto Sans CJK SC"/>
        </w:rPr>
        <w:t>更准确的表述应当是：如果最终证明数值部分确有问题，更可能属于“当前 ABMD 的实现形式或延迟历史处理放大了 float64 舍入误差”，而不是“float64 天生不能做 10 年月球积分”。</w:t>
      </w:r>
    </w:p>
    <w:p>
      <w:pPr>
        <w:pStyle w:val="Heading1"/>
        <w:keepNext/>
        <w:spacing w:before="200" w:after="100"/>
      </w:pPr>
      <w:r>
        <w:t>3. 残差形态透露的信息</w:t>
      </w:r>
    </w:p>
    <w:p>
      <w:pPr>
        <w:spacing w:after="120" w:line="324" w:lineRule="auto"/>
        <w:ind w:firstLine="420"/>
      </w:pPr>
      <w:r>
        <w:rPr>
          <w:rFonts w:ascii="Noto Sans CJK SC" w:hAnsi="Noto Sans CJK SC" w:eastAsia="Noto Sans CJK SC" w:cs="Noto Sans CJK SC"/>
        </w:rPr>
        <w:t>当前切向最大误差从 5 年到 10 年的增长比为：</w:t>
      </w:r>
    </w:p>
    <w:p>
      <w:pPr>
        <w:spacing w:before="100" w:after="140"/>
        <w:jc w:val="center"/>
      </w:pPr>
      <w:r>
        <w:rPr>
          <w:rFonts w:ascii="Noto Serif CJK SC" w:hAnsi="Noto Serif CJK SC" w:eastAsia="Noto Serif CJK SC" w:cs="Noto Serif CJK SC"/>
          <w:sz w:val="22"/>
        </w:rPr>
        <w:t>15.225 / 1.749 ≈ 8.70</w:t>
      </w:r>
    </w:p>
    <w:p>
      <w:pPr>
        <w:spacing w:after="120" w:line="324" w:lineRule="auto"/>
        <w:ind w:firstLine="420"/>
      </w:pPr>
      <w:r>
        <w:rPr>
          <w:rFonts w:ascii="Noto Sans CJK SC" w:hAnsi="Noto Sans CJK SC" w:eastAsia="Noto Sans CJK SC" w:cs="Noto Sans CJK SC"/>
        </w:rPr>
        <w:t>这个比值约为 8.7。仅有两个时间点，不能据此断言残差严格满足 t³；但它明显不符合“随机舍入误差仅按 √t 缓慢扩散”的直观形态，也比简单的线性相位漂移更快。</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vAlign w:val="center"/>
            <w:shd w:fill="1F4E79"/>
          </w:tcPr>
          <w:p>
            <w:r>
              <w:rPr>
                <w:rFonts w:ascii="Noto Sans CJK SC" w:hAnsi="Noto Sans CJK SC" w:eastAsia="Noto Sans CJK SC" w:cs="Noto Sans CJK SC"/>
                <w:b/>
                <w:color w:val="FFFFFF"/>
                <w:sz w:val="18"/>
              </w:rPr>
              <w:t>理想化误差来源</w:t>
            </w:r>
          </w:p>
        </w:tc>
        <w:tc>
          <w:tcPr>
            <w:tcW w:type="dxa" w:w="3685"/>
            <w:vAlign w:val="center"/>
            <w:shd w:fill="1F4E79"/>
          </w:tcPr>
          <w:p>
            <w:r>
              <w:rPr>
                <w:rFonts w:ascii="Noto Sans CJK SC" w:hAnsi="Noto Sans CJK SC" w:eastAsia="Noto Sans CJK SC" w:cs="Noto Sans CJK SC"/>
                <w:b/>
                <w:color w:val="FFFFFF"/>
                <w:sz w:val="18"/>
              </w:rPr>
              <w:t>随时间的典型趋势（仅作判别直觉）</w:t>
            </w:r>
          </w:p>
        </w:tc>
        <w:tc>
          <w:tcPr>
            <w:tcW w:type="dxa" w:w="2381"/>
            <w:vAlign w:val="center"/>
            <w:shd w:fill="1F4E79"/>
          </w:tcPr>
          <w:p>
            <w:r>
              <w:rPr>
                <w:rFonts w:ascii="Noto Sans CJK SC" w:hAnsi="Noto Sans CJK SC" w:eastAsia="Noto Sans CJK SC" w:cs="Noto Sans CJK SC"/>
                <w:b/>
                <w:color w:val="FFFFFF"/>
                <w:sz w:val="18"/>
              </w:rPr>
              <w:t>5→10 年预期倍率</w:t>
            </w:r>
          </w:p>
        </w:tc>
      </w:tr>
      <w:tr>
        <w:tc>
          <w:tcPr>
            <w:tcW w:type="dxa" w:w="2268"/>
            <w:vAlign w:val="center"/>
          </w:tcPr>
          <w:p>
            <w:r>
              <w:rPr>
                <w:rFonts w:ascii="Noto Sans CJK SC" w:hAnsi="Noto Sans CJK SC" w:eastAsia="Noto Sans CJK SC" w:cs="Noto Sans CJK SC"/>
                <w:b w:val="0"/>
                <w:color w:val="1F2933"/>
                <w:sz w:val="18"/>
              </w:rPr>
              <w:t>随机舍入扩散</w:t>
            </w:r>
          </w:p>
        </w:tc>
        <w:tc>
          <w:tcPr>
            <w:tcW w:type="dxa" w:w="3685"/>
            <w:vAlign w:val="center"/>
          </w:tcPr>
          <w:p>
            <w:r>
              <w:rPr>
                <w:rFonts w:ascii="Noto Sans CJK SC" w:hAnsi="Noto Sans CJK SC" w:eastAsia="Noto Sans CJK SC" w:cs="Noto Sans CJK SC"/>
                <w:b w:val="0"/>
                <w:color w:val="1F2933"/>
                <w:sz w:val="18"/>
              </w:rPr>
              <w:t>约 √t</w:t>
            </w:r>
          </w:p>
        </w:tc>
        <w:tc>
          <w:tcPr>
            <w:tcW w:type="dxa" w:w="2381"/>
            <w:vAlign w:val="center"/>
          </w:tcPr>
          <w:p>
            <w:r>
              <w:rPr>
                <w:rFonts w:ascii="Noto Sans CJK SC" w:hAnsi="Noto Sans CJK SC" w:eastAsia="Noto Sans CJK SC" w:cs="Noto Sans CJK SC"/>
                <w:b w:val="0"/>
                <w:color w:val="1F2933"/>
                <w:sz w:val="18"/>
              </w:rPr>
              <w:t>≈ 1.41</w:t>
            </w:r>
          </w:p>
        </w:tc>
      </w:tr>
      <w:tr>
        <w:tc>
          <w:tcPr>
            <w:tcW w:type="dxa" w:w="2268"/>
            <w:vAlign w:val="center"/>
            <w:shd w:fill="F3F5F7"/>
          </w:tcPr>
          <w:p>
            <w:r>
              <w:rPr>
                <w:rFonts w:ascii="Noto Sans CJK SC" w:hAnsi="Noto Sans CJK SC" w:eastAsia="Noto Sans CJK SC" w:cs="Noto Sans CJK SC"/>
                <w:b w:val="0"/>
                <w:color w:val="1F2933"/>
                <w:sz w:val="18"/>
              </w:rPr>
              <w:t>固定平均运动偏差</w:t>
            </w:r>
          </w:p>
        </w:tc>
        <w:tc>
          <w:tcPr>
            <w:tcW w:type="dxa" w:w="3685"/>
            <w:vAlign w:val="center"/>
            <w:shd w:fill="F3F5F7"/>
          </w:tcPr>
          <w:p>
            <w:r>
              <w:rPr>
                <w:rFonts w:ascii="Noto Sans CJK SC" w:hAnsi="Noto Sans CJK SC" w:eastAsia="Noto Sans CJK SC" w:cs="Noto Sans CJK SC"/>
                <w:b w:val="0"/>
                <w:color w:val="1F2933"/>
                <w:sz w:val="18"/>
              </w:rPr>
              <w:t>约 t</w:t>
            </w:r>
          </w:p>
        </w:tc>
        <w:tc>
          <w:tcPr>
            <w:tcW w:type="dxa" w:w="2381"/>
            <w:vAlign w:val="center"/>
            <w:shd w:fill="F3F5F7"/>
          </w:tcPr>
          <w:p>
            <w:r>
              <w:rPr>
                <w:rFonts w:ascii="Noto Sans CJK SC" w:hAnsi="Noto Sans CJK SC" w:eastAsia="Noto Sans CJK SC" w:cs="Noto Sans CJK SC"/>
                <w:b w:val="0"/>
                <w:color w:val="1F2933"/>
                <w:sz w:val="18"/>
              </w:rPr>
              <w:t>≈ 2</w:t>
            </w:r>
          </w:p>
        </w:tc>
      </w:tr>
      <w:tr>
        <w:tc>
          <w:tcPr>
            <w:tcW w:type="dxa" w:w="2268"/>
            <w:vAlign w:val="center"/>
          </w:tcPr>
          <w:p>
            <w:r>
              <w:rPr>
                <w:rFonts w:ascii="Noto Sans CJK SC" w:hAnsi="Noto Sans CJK SC" w:eastAsia="Noto Sans CJK SC" w:cs="Noto Sans CJK SC"/>
                <w:b w:val="0"/>
                <w:color w:val="1F2933"/>
                <w:sz w:val="18"/>
              </w:rPr>
              <w:t>近似恒定加速度偏差</w:t>
            </w:r>
          </w:p>
        </w:tc>
        <w:tc>
          <w:tcPr>
            <w:tcW w:type="dxa" w:w="3685"/>
            <w:vAlign w:val="center"/>
          </w:tcPr>
          <w:p>
            <w:r>
              <w:rPr>
                <w:rFonts w:ascii="Noto Sans CJK SC" w:hAnsi="Noto Sans CJK SC" w:eastAsia="Noto Sans CJK SC" w:cs="Noto Sans CJK SC"/>
                <w:b w:val="0"/>
                <w:color w:val="1F2933"/>
                <w:sz w:val="18"/>
              </w:rPr>
              <w:t>约 t²</w:t>
            </w:r>
          </w:p>
        </w:tc>
        <w:tc>
          <w:tcPr>
            <w:tcW w:type="dxa" w:w="2381"/>
            <w:vAlign w:val="center"/>
          </w:tcPr>
          <w:p>
            <w:r>
              <w:rPr>
                <w:rFonts w:ascii="Noto Sans CJK SC" w:hAnsi="Noto Sans CJK SC" w:eastAsia="Noto Sans CJK SC" w:cs="Noto Sans CJK SC"/>
                <w:b w:val="0"/>
                <w:color w:val="1F2933"/>
                <w:sz w:val="18"/>
              </w:rPr>
              <w:t>≈ 4</w:t>
            </w:r>
          </w:p>
        </w:tc>
      </w:tr>
      <w:tr>
        <w:tc>
          <w:tcPr>
            <w:tcW w:type="dxa" w:w="2268"/>
            <w:vAlign w:val="center"/>
            <w:shd w:fill="F3F5F7"/>
          </w:tcPr>
          <w:p>
            <w:r>
              <w:rPr>
                <w:rFonts w:ascii="Noto Sans CJK SC" w:hAnsi="Noto Sans CJK SC" w:eastAsia="Noto Sans CJK SC" w:cs="Noto Sans CJK SC"/>
                <w:b w:val="0"/>
                <w:color w:val="1F2933"/>
                <w:sz w:val="18"/>
              </w:rPr>
              <w:t>随时间线性增长的加速度偏差</w:t>
            </w:r>
          </w:p>
        </w:tc>
        <w:tc>
          <w:tcPr>
            <w:tcW w:type="dxa" w:w="3685"/>
            <w:vAlign w:val="center"/>
            <w:shd w:fill="F3F5F7"/>
          </w:tcPr>
          <w:p>
            <w:r>
              <w:rPr>
                <w:rFonts w:ascii="Noto Sans CJK SC" w:hAnsi="Noto Sans CJK SC" w:eastAsia="Noto Sans CJK SC" w:cs="Noto Sans CJK SC"/>
                <w:b w:val="0"/>
                <w:color w:val="1F2933"/>
                <w:sz w:val="18"/>
              </w:rPr>
              <w:t>约 t³</w:t>
            </w:r>
          </w:p>
        </w:tc>
        <w:tc>
          <w:tcPr>
            <w:tcW w:type="dxa" w:w="2381"/>
            <w:vAlign w:val="center"/>
            <w:shd w:fill="F3F5F7"/>
          </w:tcPr>
          <w:p>
            <w:r>
              <w:rPr>
                <w:rFonts w:ascii="Noto Sans CJK SC" w:hAnsi="Noto Sans CJK SC" w:eastAsia="Noto Sans CJK SC" w:cs="Noto Sans CJK SC"/>
                <w:b w:val="0"/>
                <w:color w:val="1F2933"/>
                <w:sz w:val="18"/>
              </w:rPr>
              <w:t>≈ 8</w:t>
            </w:r>
          </w:p>
        </w:tc>
      </w:tr>
    </w:tbl>
    <w:p>
      <w:pPr>
        <w:spacing w:after="0"/>
      </w:pPr>
    </w:p>
    <w:p>
      <w:pPr>
        <w:spacing w:after="120" w:line="324" w:lineRule="auto"/>
        <w:ind w:firstLine="420"/>
      </w:pPr>
      <w:r>
        <w:rPr>
          <w:rFonts w:ascii="Noto Sans CJK SC" w:hAnsi="Noto Sans CJK SC" w:eastAsia="Noto Sans CJK SC" w:cs="Noto Sans CJK SC"/>
        </w:rPr>
        <w:t>因此，Earth J2 的时间变化、潮汐耗散/延迟、月球动态二阶场等具有长期结构的动力学项值得优先检查。需要强调的是：真实月球轨道是强耦合、多频率系统，上表只是帮助判断排查方向，不能把残差幂律直接等同于某一个具体物理项。</w:t>
      </w:r>
    </w:p>
    <w:p>
      <w:pPr>
        <w:pStyle w:val="Heading1"/>
        <w:keepNext/>
        <w:spacing w:before="200" w:after="100"/>
      </w:pPr>
      <w:r>
        <w:t>4. 普通步长截断误差目前也不是首要嫌疑</w:t>
      </w:r>
    </w:p>
    <w:p>
      <w:pPr>
        <w:spacing w:after="120" w:line="324" w:lineRule="auto"/>
        <w:ind w:firstLine="420"/>
      </w:pPr>
      <w:r>
        <w:rPr>
          <w:rFonts w:ascii="Noto Sans CJK SC" w:hAnsi="Noto Sans CJK SC" w:eastAsia="Noto Sans CJK SC" w:cs="Noto Sans CJK SC"/>
        </w:rPr>
        <w:t>30 天对照中，5400 s、2700 s、1350 s 三个步长的结果几乎重合，切向差异小于毫米。这已经排除了明显的短弧步长截断误差，但不能排除多年尺度的多步法寄生模态、差分表舍入积累或历史缓存问题。</w:t>
      </w:r>
    </w:p>
    <w:p>
      <w:pPr>
        <w:spacing w:after="120" w:line="324" w:lineRule="auto"/>
        <w:ind w:firstLine="420"/>
      </w:pPr>
      <w:r>
        <w:rPr>
          <w:rFonts w:ascii="Noto Sans CJK SC" w:hAnsi="Noto Sans CJK SC" w:eastAsia="Noto Sans CJK SC" w:cs="Noto Sans CJK SC"/>
        </w:rPr>
        <w:t>对于理想的 13 阶方法，在进入渐近收敛区后，global error 可粗略写成：</w:t>
      </w:r>
    </w:p>
    <w:p>
      <w:pPr>
        <w:spacing w:before="100" w:after="140"/>
        <w:jc w:val="center"/>
      </w:pPr>
      <w:r>
        <w:rPr>
          <w:rFonts w:ascii="Noto Serif CJK SC" w:hAnsi="Noto Serif CJK SC" w:eastAsia="Noto Serif CJK SC" w:cs="Noto Serif CJK SC"/>
          <w:sz w:val="22"/>
        </w:rPr>
        <w:t>E(h) ≈ C h¹³</w:t>
      </w:r>
    </w:p>
    <w:p>
      <w:pPr>
        <w:spacing w:after="120" w:line="324" w:lineRule="auto"/>
        <w:ind w:firstLine="420"/>
      </w:pPr>
      <w:r>
        <w:rPr>
          <w:rFonts w:ascii="Noto Sans CJK SC" w:hAnsi="Noto Sans CJK SC" w:eastAsia="Noto Sans CJK SC" w:cs="Noto Sans CJK SC"/>
        </w:rPr>
        <w:t>因此步长减半时，截断误差的理论缩小因子约为：</w:t>
      </w:r>
    </w:p>
    <w:p>
      <w:pPr>
        <w:spacing w:before="100" w:after="140"/>
        <w:jc w:val="center"/>
      </w:pPr>
      <w:r>
        <w:rPr>
          <w:rFonts w:ascii="Noto Serif CJK SC" w:hAnsi="Noto Serif CJK SC" w:eastAsia="Noto Serif CJK SC" w:cs="Noto Serif CJK SC"/>
          <w:sz w:val="22"/>
        </w:rPr>
        <w:t>2¹³ = 8192</w:t>
      </w:r>
    </w:p>
    <w:tbl>
      <w:tblPr>
        <w:tblW w:type="auto" w:w="0"/>
        <w:jc w:val="center"/>
        <w:tblLayout w:type="autofit"/>
        <w:tblLook w:firstColumn="1" w:firstRow="1" w:lastColumn="0" w:lastRow="0" w:noHBand="0" w:noVBand="1" w:val="04A0"/>
      </w:tblPr>
      <w:tblGrid>
        <w:gridCol w:w="9412"/>
      </w:tblGrid>
      <w:tr>
        <w:tc>
          <w:tcPr>
            <w:tcW w:type="dxa" w:w="9412"/>
            <w:shd w:fill="D9EAF7"/>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关键判别</w:t>
            </w:r>
          </w:p>
          <w:p>
            <w:pPr>
              <w:spacing w:after="0" w:line="300" w:lineRule="auto"/>
            </w:pPr>
            <w:r>
              <w:rPr>
                <w:rFonts w:ascii="Noto Sans CJK SC" w:hAnsi="Noto Sans CJK SC" w:eastAsia="Noto Sans CJK SC" w:cs="Noto Sans CJK SC"/>
                <w:sz w:val="20"/>
              </w:rPr>
              <w:t>如果 10 年 5400 s 结果约 15 m，而 2700 s 直接下降到厘米甚至毫米量级，则普通数值截断误差非常可疑；反之，如果 5400/2700/1350 s 三组都贴着同一条约 15 m 的残差曲线，主因几乎一定不是 ABM13 的步长截断误差。</w:t>
            </w:r>
          </w:p>
        </w:tc>
      </w:tr>
    </w:tbl>
    <w:p>
      <w:pPr>
        <w:spacing w:after="0"/>
      </w:pPr>
    </w:p>
    <w:p>
      <w:pPr>
        <w:pStyle w:val="Heading1"/>
        <w:keepNext/>
        <w:spacing w:before="200" w:after="100"/>
      </w:pPr>
      <w:r>
        <w:t>5. 若数值积分部分有问题，最应检查的实现细节</w:t>
      </w:r>
    </w:p>
    <w:p>
      <w:pPr>
        <w:pStyle w:val="Heading2"/>
        <w:keepNext/>
        <w:spacing w:before="200" w:after="100"/>
      </w:pPr>
      <w:r>
        <w:t>5.1 13 阶 backward-difference table 的长期递推</w:t>
      </w:r>
    </w:p>
    <w:p>
      <w:pPr>
        <w:spacing w:after="120" w:line="324" w:lineRule="auto"/>
        <w:ind w:firstLine="420"/>
      </w:pPr>
      <w:r>
        <w:rPr>
          <w:rFonts w:ascii="Noto Sans CJK SC" w:hAnsi="Noto Sans CJK SC" w:eastAsia="Noto Sans CJK SC" w:cs="Noto Sans CJK SC"/>
        </w:rPr>
        <w:t>当前实现每步维护到 13 阶的 backward differences。高阶差分由连续减法得到，其数值幅度可能远小于原始 RHS，因此容易出现消去误差；如果 difference table 再被长期递推，最高几阶可能逐渐被舍入噪声污染。</w:t>
      </w:r>
    </w:p>
    <w:p>
      <w:pPr>
        <w:spacing w:after="120" w:line="324" w:lineRule="auto"/>
        <w:ind w:firstLine="420"/>
      </w:pPr>
      <w:r>
        <w:rPr>
          <w:rFonts w:ascii="Noto Sans CJK SC" w:hAnsi="Noto Sans CJK SC" w:eastAsia="Noto Sans CJK SC" w:cs="Noto Sans CJK SC"/>
        </w:rPr>
        <w:t>这类问题不是“float64 绝对精度不够”，而是算法表示形式可能放大了 float64 的舍入误差。最直接的验证是：保留最近 13/14 个原始 RHS，每一步从原始 RHS 重新构造完整 backward-difference table，而不是沿用上一时刻的高阶差分递推。</w:t>
      </w:r>
    </w:p>
    <w:p>
      <w:pPr>
        <w:spacing w:before="100" w:after="140"/>
        <w:jc w:val="center"/>
      </w:pPr>
      <w:r>
        <w:rPr>
          <w:rFonts w:ascii="Noto Serif CJK SC" w:hAnsi="Noto Serif CJK SC" w:eastAsia="Noto Serif CJK SC" w:cs="Noto Serif CJK SC"/>
          <w:sz w:val="22"/>
        </w:rPr>
        <w:t>recursive differences  vs.  rebuild from raw RHS every step</w:t>
      </w:r>
    </w:p>
    <w:p>
      <w:pPr>
        <w:spacing w:after="120" w:line="324" w:lineRule="auto"/>
        <w:ind w:firstLine="420"/>
      </w:pPr>
      <w:r>
        <w:rPr>
          <w:rFonts w:ascii="Noto Sans CJK SC" w:hAnsi="Noto Sans CJK SC" w:eastAsia="Noto Sans CJK SC" w:cs="Noto Sans CJK SC"/>
        </w:rPr>
        <w:t>由于阶数只有 13，相对于 384-body RHS、EIH、球谐和潮汐计算，这点 O(k²n) 的附加运算通常很便宜。也可以测试每 128、512、1024 步重建一次，观察长期误差是否随重建周期系统变化。</w:t>
      </w:r>
    </w:p>
    <w:p>
      <w:pPr>
        <w:pStyle w:val="Heading2"/>
        <w:keepNext/>
        <w:spacing w:before="200" w:after="100"/>
      </w:pPr>
      <w:r>
        <w:t>5.2 PECEC 的 history commit 时机</w:t>
      </w:r>
    </w:p>
    <w:p>
      <w:pPr>
        <w:spacing w:after="120" w:line="324" w:lineRule="auto"/>
        <w:ind w:firstLine="420"/>
      </w:pPr>
      <w:r>
        <w:rPr>
          <w:rFonts w:ascii="Noto Sans CJK SC" w:hAnsi="Noto Sans CJK SC" w:eastAsia="Noto Sans CJK SC" w:cs="Noto Sans CJK SC"/>
        </w:rPr>
        <w:t>需要严格核对 P → E₁ → C₁ → E₂ → C₂ 的每个阶段，尤其检查：</w:t>
      </w:r>
    </w:p>
    <w:p>
      <w:pPr>
        <w:pStyle w:val="ListBullet"/>
        <w:spacing w:after="60" w:line="300" w:lineRule="auto"/>
      </w:pPr>
      <w:r>
        <w:rPr>
          <w:rFonts w:ascii="Noto Sans CJK SC" w:hAnsi="Noto Sans CJK SC" w:eastAsia="Noto Sans CJK SC" w:cs="Noto Sans CJK SC"/>
        </w:rPr>
        <w:t>predictor 的 RHS 是否被错误写入正式 history；</w:t>
      </w:r>
    </w:p>
    <w:p>
      <w:pPr>
        <w:pStyle w:val="ListBullet"/>
        <w:spacing w:after="60" w:line="300" w:lineRule="auto"/>
      </w:pPr>
      <w:r>
        <w:rPr>
          <w:rFonts w:ascii="Noto Sans CJK SC" w:hAnsi="Noto Sans CJK SC" w:eastAsia="Noto Sans CJK SC" w:cs="Noto Sans CJK SC"/>
        </w:rPr>
        <w:t>第一次 corrected RHS 是否与最终 corrected state 混用；</w:t>
      </w:r>
    </w:p>
    <w:p>
      <w:pPr>
        <w:pStyle w:val="ListBullet"/>
        <w:spacing w:after="60" w:line="300" w:lineRule="auto"/>
      </w:pPr>
      <w:r>
        <w:rPr>
          <w:rFonts w:ascii="Noto Sans CJK SC" w:hAnsi="Noto Sans CJK SC" w:eastAsia="Noto Sans CJK SC" w:cs="Noto Sans CJK SC"/>
        </w:rPr>
        <w:t>difference table 是否在两个 E 阶段被 shift 两次；</w:t>
      </w:r>
    </w:p>
    <w:p>
      <w:pPr>
        <w:pStyle w:val="ListBullet"/>
        <w:spacing w:after="60" w:line="300" w:lineRule="auto"/>
      </w:pPr>
      <w:r>
        <w:rPr>
          <w:rFonts w:ascii="Noto Sans CJK SC" w:hAnsi="Noto Sans CJK SC" w:eastAsia="Noto Sans CJK SC" w:cs="Noto Sans CJK SC"/>
        </w:rPr>
        <w:t>最终状态是 C₂，但历史 derivative 却对应 P 或 C₁。</w:t>
      </w:r>
    </w:p>
    <w:p>
      <w:pPr>
        <w:spacing w:after="120" w:line="324" w:lineRule="auto"/>
        <w:ind w:firstLine="420"/>
      </w:pPr>
      <w:r>
        <w:rPr>
          <w:rFonts w:ascii="Noto Sans CJK SC" w:hAnsi="Noto Sans CJK SC" w:eastAsia="Noto Sans CJK SC" w:cs="Noto Sans CJK SC"/>
        </w:rPr>
        <w:t>这类错误完全可能在 30 天内表现很好，却在多年后形成小的相位偏差。</w:t>
      </w:r>
    </w:p>
    <w:p>
      <w:pPr>
        <w:pStyle w:val="Heading2"/>
        <w:keepNext/>
        <w:spacing w:before="200" w:after="100"/>
      </w:pPr>
      <w:r>
        <w:t>5.3 Startup 步长不一致</w:t>
      </w:r>
    </w:p>
    <w:p>
      <w:pPr>
        <w:spacing w:after="120" w:line="324" w:lineRule="auto"/>
        <w:ind w:firstLine="420"/>
      </w:pPr>
      <w:r>
        <w:rPr>
          <w:rFonts w:ascii="Noto Sans CJK SC" w:hAnsi="Noto Sans CJK SC" w:eastAsia="Noto Sans CJK SC" w:cs="Noto Sans CJK SC"/>
        </w:rPr>
        <w:t>Aksim/Pavlov 文献的 ABMD13 使用 hABM = 5400 s，而启动阶段使用 8 阶 Dormand–Prince，hDP = hABM/8 = 675 s。当前项目记录中曾出现“文档写 675 s，但正式元数据实际按 5400 s 启动”的不一致。</w:t>
      </w:r>
    </w:p>
    <w:p>
      <w:pPr>
        <w:spacing w:before="100" w:after="140"/>
        <w:jc w:val="center"/>
      </w:pPr>
      <w:r>
        <w:rPr>
          <w:rFonts w:ascii="Noto Serif CJK SC" w:hAnsi="Noto Serif CJK SC" w:eastAsia="Noto Serif CJK SC" w:cs="Noto Serif CJK SC"/>
          <w:sz w:val="22"/>
        </w:rPr>
        <w:t>hstartup = 5400 / 8 = 675 s</w:t>
      </w:r>
    </w:p>
    <w:p>
      <w:pPr>
        <w:spacing w:after="120" w:line="324" w:lineRule="auto"/>
        <w:ind w:firstLine="420"/>
      </w:pPr>
      <w:r>
        <w:rPr>
          <w:rFonts w:ascii="Noto Sans CJK SC" w:hAnsi="Noto Sans CJK SC" w:eastAsia="Noto Sans CJK SC" w:cs="Noto Sans CJK SC"/>
        </w:rPr>
        <w:t>该问题单独解释 15 m 的可能性不高，但必须固定，否则后续所有长弧收敛实验都会把 startup 误差与主积分误差混在一起。建议用高精度单步法生成严格位于 ABM 规则节点上的初始历史。</w:t>
      </w:r>
    </w:p>
    <w:p>
      <w:pPr>
        <w:pStyle w:val="Heading2"/>
        <w:keepNext/>
        <w:spacing w:before="200" w:after="100"/>
      </w:pPr>
      <w:r>
        <w:t>5.4 Delay / tide history 的历史来源与插值</w:t>
      </w:r>
    </w:p>
    <w:p>
      <w:pPr>
        <w:spacing w:after="120" w:line="324" w:lineRule="auto"/>
        <w:ind w:firstLine="420"/>
      </w:pPr>
      <w:r>
        <w:rPr>
          <w:rFonts w:ascii="Noto Sans CJK SC" w:hAnsi="Noto Sans CJK SC" w:eastAsia="Noto Sans CJK SC" w:cs="Noto Sans CJK SC"/>
        </w:rPr>
        <w:t>当前潮汐延迟实现使用固定容量历史缓存和规则节点局部插值；启动阶段读取参考历表，随后切换到当前积分轨道历史。这个“历史来源切换”以及缓存写入、插值 stencil、延迟时刻落点等细节，都可能制造很小但持续的相位/耗散偏差。</w:t>
      </w:r>
    </w:p>
    <w:p>
      <w:pPr>
        <w:spacing w:after="120" w:line="324" w:lineRule="auto"/>
        <w:ind w:firstLine="420"/>
      </w:pPr>
      <w:r>
        <w:rPr>
          <w:rFonts w:ascii="Noto Sans CJK SC" w:hAnsi="Noto Sans CJK SC" w:eastAsia="Noto Sans CJK SC" w:cs="Noto Sans CJK SC"/>
        </w:rPr>
        <w:t>30 天 no_tide 仅改变约 0.1 m，不能据此排除 5–10 年累计。延迟模型应当作为单独的长弧实验对象。</w:t>
      </w:r>
    </w:p>
    <w:p>
      <w:pPr>
        <w:pStyle w:val="Heading1"/>
        <w:keepNext/>
        <w:spacing w:before="200" w:after="100"/>
      </w:pPr>
      <w:r>
        <w:t>6. 当前动力学模型仍需重点排查的长期项</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84"/>
            <w:vAlign w:val="center"/>
            <w:shd w:fill="1F4E79"/>
          </w:tcPr>
          <w:p>
            <w:r>
              <w:rPr>
                <w:rFonts w:ascii="Noto Sans CJK SC" w:hAnsi="Noto Sans CJK SC" w:eastAsia="Noto Sans CJK SC" w:cs="Noto Sans CJK SC"/>
                <w:b/>
                <w:color w:val="FFFFFF"/>
                <w:sz w:val="17"/>
              </w:rPr>
              <w:t>项目</w:t>
            </w:r>
          </w:p>
        </w:tc>
        <w:tc>
          <w:tcPr>
            <w:tcW w:type="dxa" w:w="3969"/>
            <w:vAlign w:val="center"/>
            <w:shd w:fill="1F4E79"/>
          </w:tcPr>
          <w:p>
            <w:r>
              <w:rPr>
                <w:rFonts w:ascii="Noto Sans CJK SC" w:hAnsi="Noto Sans CJK SC" w:eastAsia="Noto Sans CJK SC" w:cs="Noto Sans CJK SC"/>
                <w:b/>
                <w:color w:val="FFFFFF"/>
                <w:sz w:val="17"/>
              </w:rPr>
              <w:t>当前状态/疑点</w:t>
            </w:r>
          </w:p>
        </w:tc>
        <w:tc>
          <w:tcPr>
            <w:tcW w:type="dxa" w:w="2835"/>
            <w:vAlign w:val="center"/>
            <w:shd w:fill="1F4E79"/>
          </w:tcPr>
          <w:p>
            <w:r>
              <w:rPr>
                <w:rFonts w:ascii="Noto Sans CJK SC" w:hAnsi="Noto Sans CJK SC" w:eastAsia="Noto Sans CJK SC" w:cs="Noto Sans CJK SC"/>
                <w:b/>
                <w:color w:val="FFFFFF"/>
                <w:sz w:val="17"/>
              </w:rPr>
              <w:t>为什么值得长弧检查</w:t>
            </w:r>
          </w:p>
        </w:tc>
      </w:tr>
      <w:tr>
        <w:tc>
          <w:tcPr>
            <w:tcW w:type="dxa" w:w="1984"/>
            <w:vAlign w:val="center"/>
          </w:tcPr>
          <w:p>
            <w:r>
              <w:rPr>
                <w:rFonts w:ascii="Noto Sans CJK SC" w:hAnsi="Noto Sans CJK SC" w:eastAsia="Noto Sans CJK SC" w:cs="Noto Sans CJK SC"/>
                <w:b w:val="0"/>
                <w:color w:val="1F2933"/>
                <w:sz w:val="17"/>
              </w:rPr>
              <w:t>Earth J2(t)</w:t>
            </w:r>
          </w:p>
        </w:tc>
        <w:tc>
          <w:tcPr>
            <w:tcW w:type="dxa" w:w="3969"/>
            <w:vAlign w:val="center"/>
          </w:tcPr>
          <w:p>
            <w:r>
              <w:rPr>
                <w:rFonts w:ascii="Noto Sans CJK SC" w:hAnsi="Noto Sans CJK SC" w:eastAsia="Noto Sans CJK SC" w:cs="Noto Sans CJK SC"/>
                <w:b w:val="0"/>
                <w:color w:val="1F2933"/>
                <w:sz w:val="17"/>
              </w:rPr>
              <w:t>当前 Earth 静态场主要使用常数 C20；DE440 还包含 J2EDOT/J2ET2 时间项。</w:t>
            </w:r>
          </w:p>
        </w:tc>
        <w:tc>
          <w:tcPr>
            <w:tcW w:type="dxa" w:w="2835"/>
            <w:vAlign w:val="center"/>
          </w:tcPr>
          <w:p>
            <w:r>
              <w:rPr>
                <w:rFonts w:ascii="Noto Sans CJK SC" w:hAnsi="Noto Sans CJK SC" w:eastAsia="Noto Sans CJK SC" w:cs="Noto Sans CJK SC"/>
                <w:b w:val="0"/>
                <w:color w:val="1F2933"/>
                <w:sz w:val="17"/>
              </w:rPr>
              <w:t>随时间积累，可能形成长期相位结构。</w:t>
            </w:r>
          </w:p>
        </w:tc>
      </w:tr>
      <w:tr>
        <w:tc>
          <w:tcPr>
            <w:tcW w:type="dxa" w:w="1984"/>
            <w:vAlign w:val="center"/>
            <w:shd w:fill="F3F5F7"/>
          </w:tcPr>
          <w:p>
            <w:r>
              <w:rPr>
                <w:rFonts w:ascii="Noto Sans CJK SC" w:hAnsi="Noto Sans CJK SC" w:eastAsia="Noto Sans CJK SC" w:cs="Noto Sans CJK SC"/>
                <w:b w:val="0"/>
                <w:color w:val="1F2933"/>
                <w:sz w:val="17"/>
              </w:rPr>
              <w:t>Lunar dynamic degree-2 / inertia</w:t>
            </w:r>
          </w:p>
        </w:tc>
        <w:tc>
          <w:tcPr>
            <w:tcW w:type="dxa" w:w="3969"/>
            <w:vAlign w:val="center"/>
            <w:shd w:fill="F3F5F7"/>
          </w:tcPr>
          <w:p>
            <w:r>
              <w:rPr>
                <w:rFonts w:ascii="Noto Sans CJK SC" w:hAnsi="Noto Sans CJK SC" w:eastAsia="Noto Sans CJK SC" w:cs="Noto Sans CJK SC"/>
                <w:b w:val="0"/>
                <w:color w:val="1F2933"/>
                <w:sz w:val="17"/>
              </w:rPr>
              <w:t>正式配置中 lunarInertia = null，月球使用固定 degree/order-6 场。</w:t>
            </w:r>
          </w:p>
        </w:tc>
        <w:tc>
          <w:tcPr>
            <w:tcW w:type="dxa" w:w="2835"/>
            <w:vAlign w:val="center"/>
            <w:shd w:fill="F3F5F7"/>
          </w:tcPr>
          <w:p>
            <w:r>
              <w:rPr>
                <w:rFonts w:ascii="Noto Sans CJK SC" w:hAnsi="Noto Sans CJK SC" w:eastAsia="Noto Sans CJK SC" w:cs="Noto Sans CJK SC"/>
                <w:b w:val="0"/>
                <w:color w:val="1F2933"/>
                <w:sz w:val="17"/>
              </w:rPr>
              <w:t>DE440 月球模型含与延迟惯量、潮汐变形和自转有关的时变二阶场。</w:t>
            </w:r>
          </w:p>
        </w:tc>
      </w:tr>
      <w:tr>
        <w:tc>
          <w:tcPr>
            <w:tcW w:type="dxa" w:w="1984"/>
            <w:vAlign w:val="center"/>
          </w:tcPr>
          <w:p>
            <w:r>
              <w:rPr>
                <w:rFonts w:ascii="Noto Sans CJK SC" w:hAnsi="Noto Sans CJK SC" w:eastAsia="Noto Sans CJK SC" w:cs="Noto Sans CJK SC"/>
                <w:b w:val="0"/>
                <w:color w:val="1F2933"/>
                <w:sz w:val="17"/>
              </w:rPr>
              <w:t>Earth tide delay/history</w:t>
            </w:r>
          </w:p>
        </w:tc>
        <w:tc>
          <w:tcPr>
            <w:tcW w:type="dxa" w:w="3969"/>
            <w:vAlign w:val="center"/>
          </w:tcPr>
          <w:p>
            <w:r>
              <w:rPr>
                <w:rFonts w:ascii="Noto Sans CJK SC" w:hAnsi="Noto Sans CJK SC" w:eastAsia="Noto Sans CJK SC" w:cs="Noto Sans CJK SC"/>
                <w:b w:val="0"/>
                <w:color w:val="1F2933"/>
                <w:sz w:val="17"/>
              </w:rPr>
              <w:t>当前为缓存 + 局部插值，并有启动历史来源切换。</w:t>
            </w:r>
          </w:p>
        </w:tc>
        <w:tc>
          <w:tcPr>
            <w:tcW w:type="dxa" w:w="2835"/>
            <w:vAlign w:val="center"/>
          </w:tcPr>
          <w:p>
            <w:r>
              <w:rPr>
                <w:rFonts w:ascii="Noto Sans CJK SC" w:hAnsi="Noto Sans CJK SC" w:eastAsia="Noto Sans CJK SC" w:cs="Noto Sans CJK SC"/>
                <w:b w:val="0"/>
                <w:color w:val="1F2933"/>
                <w:sz w:val="17"/>
              </w:rPr>
              <w:t>耗散与时延项天然影响长期平均运动和相位。</w:t>
            </w:r>
          </w:p>
        </w:tc>
      </w:tr>
      <w:tr>
        <w:tc>
          <w:tcPr>
            <w:tcW w:type="dxa" w:w="1984"/>
            <w:vAlign w:val="center"/>
            <w:shd w:fill="F3F5F7"/>
          </w:tcPr>
          <w:p>
            <w:r>
              <w:rPr>
                <w:rFonts w:ascii="Noto Sans CJK SC" w:hAnsi="Noto Sans CJK SC" w:eastAsia="Noto Sans CJK SC" w:cs="Noto Sans CJK SC"/>
                <w:b w:val="0"/>
                <w:color w:val="1F2933"/>
                <w:sz w:val="17"/>
              </w:rPr>
              <w:t>EIH 语义/源集合</w:t>
            </w:r>
          </w:p>
        </w:tc>
        <w:tc>
          <w:tcPr>
            <w:tcW w:type="dxa" w:w="3969"/>
            <w:vAlign w:val="center"/>
            <w:shd w:fill="F3F5F7"/>
          </w:tcPr>
          <w:p>
            <w:r>
              <w:rPr>
                <w:rFonts w:ascii="Noto Sans CJK SC" w:hAnsi="Noto Sans CJK SC" w:eastAsia="Noto Sans CJK SC" w:cs="Noto Sans CJK SC"/>
                <w:b w:val="0"/>
                <w:color w:val="1F2933"/>
                <w:sz w:val="17"/>
              </w:rPr>
              <w:t>30 天关闭 EIH 会显著恶化，说明不能简单去掉；仍需核对 source 集合与 lower-order acceleration 语义。</w:t>
            </w:r>
          </w:p>
        </w:tc>
        <w:tc>
          <w:tcPr>
            <w:tcW w:type="dxa" w:w="2835"/>
            <w:vAlign w:val="center"/>
            <w:shd w:fill="F3F5F7"/>
          </w:tcPr>
          <w:p>
            <w:r>
              <w:rPr>
                <w:rFonts w:ascii="Noto Sans CJK SC" w:hAnsi="Noto Sans CJK SC" w:eastAsia="Noto Sans CJK SC" w:cs="Noto Sans CJK SC"/>
                <w:b w:val="0"/>
                <w:color w:val="1F2933"/>
                <w:sz w:val="17"/>
              </w:rPr>
              <w:t>小的相对论实现差异可以在长期相位中累积。</w:t>
            </w:r>
          </w:p>
        </w:tc>
      </w:tr>
    </w:tbl>
    <w:p>
      <w:pPr>
        <w:spacing w:after="0"/>
      </w:pPr>
    </w:p>
    <w:p>
      <w:pPr>
        <w:spacing w:after="120" w:line="324" w:lineRule="auto"/>
        <w:ind w:firstLine="420"/>
      </w:pPr>
      <w:r>
        <w:rPr>
          <w:rFonts w:ascii="Noto Sans CJK SC" w:hAnsi="Noto Sans CJK SC" w:eastAsia="Noto Sans CJK SC" w:cs="Noto Sans CJK SC"/>
        </w:rPr>
        <w:t>特别需要注意：5 年配置曾同样记录 lunarInertia = null，因此不能把当前 10 年差异单独归因于这一项。这里的结论只是“它是复现 DE440 长期动力学时必须独立验证的缺失项”，而不是已经确认的唯一根因。</w:t>
      </w:r>
    </w:p>
    <w:p>
      <w:pPr>
        <w:pStyle w:val="Heading1"/>
        <w:keepNext/>
        <w:spacing w:before="200" w:after="100"/>
      </w:pPr>
      <w:r>
        <w:t>7. 最小但高判别力的实验矩阵</w:t>
      </w:r>
    </w:p>
    <w:p>
      <w:pPr>
        <w:spacing w:after="120" w:line="324" w:lineRule="auto"/>
        <w:ind w:firstLine="420"/>
      </w:pPr>
      <w:r>
        <w:rPr>
          <w:rFonts w:ascii="Noto Sans CJK SC" w:hAnsi="Noto Sans CJK SC" w:eastAsia="Noto Sans CJK SC" w:cs="Noto Sans CJK SC"/>
        </w:rPr>
        <w:t>建议优先完成下面四组实验。它们比直接换高精度浮点更能快速确定问题属于数值积分还是动力学模型。</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14"/>
            <w:vAlign w:val="center"/>
            <w:shd w:fill="1F4E79"/>
          </w:tcPr>
          <w:p>
            <w:r>
              <w:rPr>
                <w:rFonts w:ascii="Noto Sans CJK SC" w:hAnsi="Noto Sans CJK SC" w:eastAsia="Noto Sans CJK SC" w:cs="Noto Sans CJK SC"/>
                <w:b/>
                <w:color w:val="FFFFFF"/>
                <w:sz w:val="17"/>
              </w:rPr>
              <w:t>实验</w:t>
            </w:r>
          </w:p>
        </w:tc>
        <w:tc>
          <w:tcPr>
            <w:tcW w:type="dxa" w:w="3969"/>
            <w:vAlign w:val="center"/>
            <w:shd w:fill="1F4E79"/>
          </w:tcPr>
          <w:p>
            <w:r>
              <w:rPr>
                <w:rFonts w:ascii="Noto Sans CJK SC" w:hAnsi="Noto Sans CJK SC" w:eastAsia="Noto Sans CJK SC" w:cs="Noto Sans CJK SC"/>
                <w:b/>
                <w:color w:val="FFFFFF"/>
                <w:sz w:val="17"/>
              </w:rPr>
              <w:t>配置</w:t>
            </w:r>
          </w:p>
        </w:tc>
        <w:tc>
          <w:tcPr>
            <w:tcW w:type="dxa" w:w="2948"/>
            <w:vAlign w:val="center"/>
            <w:shd w:fill="1F4E79"/>
          </w:tcPr>
          <w:p>
            <w:r>
              <w:rPr>
                <w:rFonts w:ascii="Noto Sans CJK SC" w:hAnsi="Noto Sans CJK SC" w:eastAsia="Noto Sans CJK SC" w:cs="Noto Sans CJK SC"/>
                <w:b/>
                <w:color w:val="FFFFFF"/>
                <w:sz w:val="17"/>
              </w:rPr>
              <w:t>主要回答的问题</w:t>
            </w:r>
          </w:p>
        </w:tc>
      </w:tr>
      <w:tr>
        <w:tc>
          <w:tcPr>
            <w:tcW w:type="dxa" w:w="1814"/>
            <w:vAlign w:val="center"/>
          </w:tcPr>
          <w:p>
            <w:r>
              <w:rPr>
                <w:rFonts w:ascii="Noto Sans CJK SC" w:hAnsi="Noto Sans CJK SC" w:eastAsia="Noto Sans CJK SC" w:cs="Noto Sans CJK SC"/>
                <w:b w:val="0"/>
                <w:color w:val="1F2933"/>
                <w:sz w:val="17"/>
              </w:rPr>
              <w:t>A. 10 年步长收敛</w:t>
            </w:r>
          </w:p>
        </w:tc>
        <w:tc>
          <w:tcPr>
            <w:tcW w:type="dxa" w:w="3969"/>
            <w:vAlign w:val="center"/>
          </w:tcPr>
          <w:p>
            <w:r>
              <w:rPr>
                <w:rFonts w:ascii="Noto Sans CJK SC" w:hAnsi="Noto Sans CJK SC" w:eastAsia="Noto Sans CJK SC" w:cs="Noto Sans CJK SC"/>
                <w:b w:val="0"/>
                <w:color w:val="1F2933"/>
                <w:sz w:val="17"/>
              </w:rPr>
              <w:t>ABMD13；5400 / 2700 / 1350 s；RHS 完全不变</w:t>
            </w:r>
          </w:p>
        </w:tc>
        <w:tc>
          <w:tcPr>
            <w:tcW w:type="dxa" w:w="2948"/>
            <w:vAlign w:val="center"/>
          </w:tcPr>
          <w:p>
            <w:r>
              <w:rPr>
                <w:rFonts w:ascii="Noto Sans CJK SC" w:hAnsi="Noto Sans CJK SC" w:eastAsia="Noto Sans CJK SC" w:cs="Noto Sans CJK SC"/>
                <w:b w:val="0"/>
                <w:color w:val="1F2933"/>
                <w:sz w:val="17"/>
              </w:rPr>
              <w:t>是否为截断误差、寄生模态或步长相关的数值问题？</w:t>
            </w:r>
          </w:p>
        </w:tc>
      </w:tr>
      <w:tr>
        <w:tc>
          <w:tcPr>
            <w:tcW w:type="dxa" w:w="1814"/>
            <w:vAlign w:val="center"/>
            <w:shd w:fill="F3F5F7"/>
          </w:tcPr>
          <w:p>
            <w:r>
              <w:rPr>
                <w:rFonts w:ascii="Noto Sans CJK SC" w:hAnsi="Noto Sans CJK SC" w:eastAsia="Noto Sans CJK SC" w:cs="Noto Sans CJK SC"/>
                <w:b w:val="0"/>
                <w:color w:val="1F2933"/>
                <w:sz w:val="17"/>
              </w:rPr>
              <w:t>B. 同 RHS 的 DOP853 10 年</w:t>
            </w:r>
          </w:p>
        </w:tc>
        <w:tc>
          <w:tcPr>
            <w:tcW w:type="dxa" w:w="3969"/>
            <w:vAlign w:val="center"/>
            <w:shd w:fill="F3F5F7"/>
          </w:tcPr>
          <w:p>
            <w:r>
              <w:rPr>
                <w:rFonts w:ascii="Noto Sans CJK SC" w:hAnsi="Noto Sans CJK SC" w:eastAsia="Noto Sans CJK SC" w:cs="Noto Sans CJK SC"/>
                <w:b w:val="0"/>
                <w:color w:val="1F2933"/>
                <w:sz w:val="17"/>
              </w:rPr>
              <w:t>与 ABMD 完全相同的力模型、参数和初值；严格容差</w:t>
            </w:r>
          </w:p>
        </w:tc>
        <w:tc>
          <w:tcPr>
            <w:tcW w:type="dxa" w:w="2948"/>
            <w:vAlign w:val="center"/>
            <w:shd w:fill="F3F5F7"/>
          </w:tcPr>
          <w:p>
            <w:r>
              <w:rPr>
                <w:rFonts w:ascii="Noto Sans CJK SC" w:hAnsi="Noto Sans CJK SC" w:eastAsia="Noto Sans CJK SC" w:cs="Noto Sans CJK SC"/>
                <w:b w:val="0"/>
                <w:color w:val="1F2933"/>
                <w:sz w:val="17"/>
              </w:rPr>
              <w:t>ABMD 与动力学模型谁应当负责长期差异？</w:t>
            </w:r>
          </w:p>
        </w:tc>
      </w:tr>
      <w:tr>
        <w:tc>
          <w:tcPr>
            <w:tcW w:type="dxa" w:w="1814"/>
            <w:vAlign w:val="center"/>
          </w:tcPr>
          <w:p>
            <w:r>
              <w:rPr>
                <w:rFonts w:ascii="Noto Sans CJK SC" w:hAnsi="Noto Sans CJK SC" w:eastAsia="Noto Sans CJK SC" w:cs="Noto Sans CJK SC"/>
                <w:b w:val="0"/>
                <w:color w:val="1F2933"/>
                <w:sz w:val="17"/>
              </w:rPr>
              <w:t>C. no-delay / no-tide forward-backward</w:t>
            </w:r>
          </w:p>
        </w:tc>
        <w:tc>
          <w:tcPr>
            <w:tcW w:type="dxa" w:w="3969"/>
            <w:vAlign w:val="center"/>
          </w:tcPr>
          <w:p>
            <w:r>
              <w:rPr>
                <w:rFonts w:ascii="Noto Sans CJK SC" w:hAnsi="Noto Sans CJK SC" w:eastAsia="Noto Sans CJK SC" w:cs="Noto Sans CJK SC"/>
                <w:b w:val="0"/>
                <w:color w:val="1F2933"/>
                <w:sz w:val="17"/>
              </w:rPr>
              <w:t>关闭潮汐和所有 delay 项；10 年正向后从终点反向回初始时刻</w:t>
            </w:r>
          </w:p>
        </w:tc>
        <w:tc>
          <w:tcPr>
            <w:tcW w:type="dxa" w:w="2948"/>
            <w:vAlign w:val="center"/>
          </w:tcPr>
          <w:p>
            <w:r>
              <w:rPr>
                <w:rFonts w:ascii="Noto Sans CJK SC" w:hAnsi="Noto Sans CJK SC" w:eastAsia="Noto Sans CJK SC" w:cs="Noto Sans CJK SC"/>
                <w:b w:val="0"/>
                <w:color w:val="1F2933"/>
                <w:sz w:val="17"/>
              </w:rPr>
              <w:t>ABMD 核心 ODE 实现本身是否可逆到 mm/cm 量级？</w:t>
            </w:r>
          </w:p>
        </w:tc>
      </w:tr>
      <w:tr>
        <w:tc>
          <w:tcPr>
            <w:tcW w:type="dxa" w:w="1814"/>
            <w:vAlign w:val="center"/>
            <w:shd w:fill="F3F5F7"/>
          </w:tcPr>
          <w:p>
            <w:r>
              <w:rPr>
                <w:rFonts w:ascii="Noto Sans CJK SC" w:hAnsi="Noto Sans CJK SC" w:eastAsia="Noto Sans CJK SC" w:cs="Noto Sans CJK SC"/>
                <w:b w:val="0"/>
                <w:color w:val="1F2933"/>
                <w:sz w:val="17"/>
              </w:rPr>
              <w:t>D. 差分表重建</w:t>
            </w:r>
          </w:p>
        </w:tc>
        <w:tc>
          <w:tcPr>
            <w:tcW w:type="dxa" w:w="3969"/>
            <w:vAlign w:val="center"/>
            <w:shd w:fill="F3F5F7"/>
          </w:tcPr>
          <w:p>
            <w:r>
              <w:rPr>
                <w:rFonts w:ascii="Noto Sans CJK SC" w:hAnsi="Noto Sans CJK SC" w:eastAsia="Noto Sans CJK SC" w:cs="Noto Sans CJK SC"/>
                <w:b w:val="0"/>
                <w:color w:val="1F2933"/>
                <w:sz w:val="17"/>
              </w:rPr>
              <w:t>ABMD13/5400 s，但每步从最近 RHS 全量重建 backward differences</w:t>
            </w:r>
          </w:p>
        </w:tc>
        <w:tc>
          <w:tcPr>
            <w:tcW w:type="dxa" w:w="2948"/>
            <w:vAlign w:val="center"/>
            <w:shd w:fill="F3F5F7"/>
          </w:tcPr>
          <w:p>
            <w:r>
              <w:rPr>
                <w:rFonts w:ascii="Noto Sans CJK SC" w:hAnsi="Noto Sans CJK SC" w:eastAsia="Noto Sans CJK SC" w:cs="Noto Sans CJK SC"/>
                <w:b w:val="0"/>
                <w:color w:val="1F2933"/>
                <w:sz w:val="17"/>
              </w:rPr>
              <w:t>长期漂移是否来自高阶差分递推与舍入放大？</w:t>
            </w:r>
          </w:p>
        </w:tc>
      </w:tr>
    </w:tbl>
    <w:p>
      <w:pPr>
        <w:spacing w:after="0"/>
      </w:pPr>
    </w:p>
    <w:p>
      <w:pPr>
        <w:pStyle w:val="Heading2"/>
        <w:keepNext/>
        <w:spacing w:before="200" w:after="100"/>
      </w:pPr>
      <w:r>
        <w:t>7.1 10 年步长收敛的判定表</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62"/>
            <w:vAlign w:val="center"/>
            <w:shd w:fill="1F4E79"/>
          </w:tcPr>
          <w:p>
            <w:r>
              <w:rPr>
                <w:rFonts w:ascii="Noto Sans CJK SC" w:hAnsi="Noto Sans CJK SC" w:eastAsia="Noto Sans CJK SC" w:cs="Noto Sans CJK SC"/>
                <w:b/>
                <w:color w:val="FFFFFF"/>
                <w:sz w:val="17"/>
              </w:rPr>
              <w:t>观测结果</w:t>
            </w:r>
          </w:p>
        </w:tc>
        <w:tc>
          <w:tcPr>
            <w:tcW w:type="dxa" w:w="3969"/>
            <w:vAlign w:val="center"/>
            <w:shd w:fill="1F4E79"/>
          </w:tcPr>
          <w:p>
            <w:r>
              <w:rPr>
                <w:rFonts w:ascii="Noto Sans CJK SC" w:hAnsi="Noto Sans CJK SC" w:eastAsia="Noto Sans CJK SC" w:cs="Noto Sans CJK SC"/>
                <w:b/>
                <w:color w:val="FFFFFF"/>
                <w:sz w:val="17"/>
              </w:rPr>
              <w:t>判定</w:t>
            </w:r>
          </w:p>
        </w:tc>
      </w:tr>
      <w:tr>
        <w:tc>
          <w:tcPr>
            <w:tcW w:type="dxa" w:w="4762"/>
            <w:vAlign w:val="center"/>
          </w:tcPr>
          <w:p>
            <w:r>
              <w:rPr>
                <w:rFonts w:ascii="Noto Sans CJK SC" w:hAnsi="Noto Sans CJK SC" w:eastAsia="Noto Sans CJK SC" w:cs="Noto Sans CJK SC"/>
                <w:b w:val="0"/>
                <w:color w:val="1F2933"/>
                <w:sz w:val="17"/>
              </w:rPr>
              <w:t>5400 s ≈ 15 m；2700 s 下降到 cm/mm；1350 s 继续下降</w:t>
            </w:r>
          </w:p>
        </w:tc>
        <w:tc>
          <w:tcPr>
            <w:tcW w:type="dxa" w:w="3969"/>
            <w:vAlign w:val="center"/>
          </w:tcPr>
          <w:p>
            <w:r>
              <w:rPr>
                <w:rFonts w:ascii="Noto Sans CJK SC" w:hAnsi="Noto Sans CJK SC" w:eastAsia="Noto Sans CJK SC" w:cs="Noto Sans CJK SC"/>
                <w:b w:val="0"/>
                <w:color w:val="1F2933"/>
                <w:sz w:val="17"/>
              </w:rPr>
              <w:t>普通 ABMD 截断误差占主导。</w:t>
            </w:r>
          </w:p>
        </w:tc>
      </w:tr>
      <w:tr>
        <w:tc>
          <w:tcPr>
            <w:tcW w:type="dxa" w:w="4762"/>
            <w:vAlign w:val="center"/>
            <w:shd w:fill="F3F5F7"/>
          </w:tcPr>
          <w:p>
            <w:r>
              <w:rPr>
                <w:rFonts w:ascii="Noto Sans CJK SC" w:hAnsi="Noto Sans CJK SC" w:eastAsia="Noto Sans CJK SC" w:cs="Noto Sans CJK SC"/>
                <w:b w:val="0"/>
                <w:color w:val="1F2933"/>
                <w:sz w:val="17"/>
              </w:rPr>
              <w:t>5400/2700/1350 s 三组都 ≈ 15 m，且残差曲线几乎重合</w:t>
            </w:r>
          </w:p>
        </w:tc>
        <w:tc>
          <w:tcPr>
            <w:tcW w:type="dxa" w:w="3969"/>
            <w:vAlign w:val="center"/>
            <w:shd w:fill="F3F5F7"/>
          </w:tcPr>
          <w:p>
            <w:r>
              <w:rPr>
                <w:rFonts w:ascii="Noto Sans CJK SC" w:hAnsi="Noto Sans CJK SC" w:eastAsia="Noto Sans CJK SC" w:cs="Noto Sans CJK SC"/>
                <w:b w:val="0"/>
                <w:color w:val="1F2933"/>
                <w:sz w:val="17"/>
              </w:rPr>
              <w:t>动力学模型差异占主导；基本可以停止怀疑步长截断误差。</w:t>
            </w:r>
          </w:p>
        </w:tc>
      </w:tr>
      <w:tr>
        <w:tc>
          <w:tcPr>
            <w:tcW w:type="dxa" w:w="4762"/>
            <w:vAlign w:val="center"/>
          </w:tcPr>
          <w:p>
            <w:r>
              <w:rPr>
                <w:rFonts w:ascii="Noto Sans CJK SC" w:hAnsi="Noto Sans CJK SC" w:eastAsia="Noto Sans CJK SC" w:cs="Noto Sans CJK SC"/>
                <w:b w:val="0"/>
                <w:color w:val="1F2933"/>
                <w:sz w:val="17"/>
              </w:rPr>
              <w:t>步长减小不改善，甚至变差或出现慢增长/振荡</w:t>
            </w:r>
          </w:p>
        </w:tc>
        <w:tc>
          <w:tcPr>
            <w:tcW w:type="dxa" w:w="3969"/>
            <w:vAlign w:val="center"/>
          </w:tcPr>
          <w:p>
            <w:r>
              <w:rPr>
                <w:rFonts w:ascii="Noto Sans CJK SC" w:hAnsi="Noto Sans CJK SC" w:eastAsia="Noto Sans CJK SC" w:cs="Noto Sans CJK SC"/>
                <w:b w:val="0"/>
                <w:color w:val="1F2933"/>
                <w:sz w:val="17"/>
              </w:rPr>
              <w:t>寄生模态、difference-table 舍入、history 污染等数值稳定性问题。</w:t>
            </w:r>
          </w:p>
        </w:tc>
      </w:tr>
      <w:tr>
        <w:tc>
          <w:tcPr>
            <w:tcW w:type="dxa" w:w="4762"/>
            <w:vAlign w:val="center"/>
            <w:shd w:fill="F3F5F7"/>
          </w:tcPr>
          <w:p>
            <w:r>
              <w:rPr>
                <w:rFonts w:ascii="Noto Sans CJK SC" w:hAnsi="Noto Sans CJK SC" w:eastAsia="Noto Sans CJK SC" w:cs="Noto Sans CJK SC"/>
                <w:b w:val="0"/>
                <w:color w:val="1F2933"/>
                <w:sz w:val="17"/>
              </w:rPr>
              <w:t>ABMD ≈ 15 m，但同 RHS DOP853 明显更小</w:t>
            </w:r>
          </w:p>
        </w:tc>
        <w:tc>
          <w:tcPr>
            <w:tcW w:type="dxa" w:w="3969"/>
            <w:vAlign w:val="center"/>
            <w:shd w:fill="F3F5F7"/>
          </w:tcPr>
          <w:p>
            <w:r>
              <w:rPr>
                <w:rFonts w:ascii="Noto Sans CJK SC" w:hAnsi="Noto Sans CJK SC" w:eastAsia="Noto Sans CJK SC" w:cs="Noto Sans CJK SC"/>
                <w:b w:val="0"/>
                <w:color w:val="1F2933"/>
                <w:sz w:val="17"/>
              </w:rPr>
              <w:t>ABMD 实现或长弧数值稳定性问题。</w:t>
            </w:r>
          </w:p>
        </w:tc>
      </w:tr>
      <w:tr>
        <w:tc>
          <w:tcPr>
            <w:tcW w:type="dxa" w:w="4762"/>
            <w:vAlign w:val="center"/>
          </w:tcPr>
          <w:p>
            <w:r>
              <w:rPr>
                <w:rFonts w:ascii="Noto Sans CJK SC" w:hAnsi="Noto Sans CJK SC" w:eastAsia="Noto Sans CJK SC" w:cs="Noto Sans CJK SC"/>
                <w:b w:val="0"/>
                <w:color w:val="1F2933"/>
                <w:sz w:val="17"/>
              </w:rPr>
              <w:t>ABMD 与 DOP853 得到几乎相同的 15 m 曲线</w:t>
            </w:r>
          </w:p>
        </w:tc>
        <w:tc>
          <w:tcPr>
            <w:tcW w:type="dxa" w:w="3969"/>
            <w:vAlign w:val="center"/>
          </w:tcPr>
          <w:p>
            <w:r>
              <w:rPr>
                <w:rFonts w:ascii="Noto Sans CJK SC" w:hAnsi="Noto Sans CJK SC" w:eastAsia="Noto Sans CJK SC" w:cs="Noto Sans CJK SC"/>
                <w:b w:val="0"/>
                <w:color w:val="1F2933"/>
                <w:sz w:val="17"/>
              </w:rPr>
              <w:t>动力学模型问题；积分器大概率无罪。</w:t>
            </w:r>
          </w:p>
        </w:tc>
      </w:tr>
    </w:tbl>
    <w:p>
      <w:pPr>
        <w:spacing w:after="0"/>
      </w:pPr>
    </w:p>
    <w:p>
      <w:pPr>
        <w:pStyle w:val="Heading2"/>
        <w:keepNext/>
        <w:spacing w:before="200" w:after="100"/>
      </w:pPr>
      <w:r>
        <w:t>7.2 Forward-backward 测试的解释</w:t>
      </w:r>
    </w:p>
    <w:p>
      <w:pPr>
        <w:spacing w:after="120" w:line="324" w:lineRule="auto"/>
        <w:ind w:firstLine="420"/>
      </w:pPr>
      <w:r>
        <w:rPr>
          <w:rFonts w:ascii="Noto Sans CJK SC" w:hAnsi="Noto Sans CJK SC" w:eastAsia="Noto Sans CJK SC" w:cs="Noto Sans CJK SC"/>
        </w:rPr>
        <w:t>对关闭 delay/tide 后的纯 ODE 模型，正向 10 年再反向 10 年是一项非常干净的积分器自检，因为它不再混入“DE440 与当前物理模型并不完全相同”的因素。</w:t>
      </w:r>
    </w:p>
    <w:p>
      <w:pPr>
        <w:spacing w:before="100" w:after="140"/>
        <w:jc w:val="center"/>
      </w:pPr>
      <w:r>
        <w:rPr>
          <w:rFonts w:ascii="Noto Serif CJK SC" w:hAnsi="Noto Serif CJK SC" w:eastAsia="Noto Serif CJK SC" w:cs="Noto Serif CJK SC"/>
          <w:sz w:val="22"/>
        </w:rPr>
        <w:t>t₀ → t₀ + 10 yr → t₀</w:t>
      </w:r>
    </w:p>
    <w:p>
      <w:pPr>
        <w:spacing w:after="120" w:line="324" w:lineRule="auto"/>
        <w:ind w:firstLine="420"/>
      </w:pPr>
      <w:r>
        <w:rPr>
          <w:rFonts w:ascii="Noto Sans CJK SC" w:hAnsi="Noto Sans CJK SC" w:eastAsia="Noto Sans CJK SC" w:cs="Noto Sans CJK SC"/>
        </w:rPr>
        <w:t>建议至少比较：</w:t>
      </w:r>
    </w:p>
    <w:p>
      <w:pPr>
        <w:pStyle w:val="ListBullet"/>
        <w:spacing w:after="60" w:line="300" w:lineRule="auto"/>
      </w:pPr>
      <w:r>
        <w:rPr>
          <w:rFonts w:ascii="Noto Sans CJK SC" w:hAnsi="Noto Sans CJK SC" w:eastAsia="Noto Sans CJK SC" w:cs="Noto Sans CJK SC"/>
        </w:rPr>
        <w:t>ΔrEM、ΔvEM；</w:t>
      </w:r>
    </w:p>
    <w:p>
      <w:pPr>
        <w:pStyle w:val="ListBullet"/>
        <w:spacing w:after="60" w:line="300" w:lineRule="auto"/>
      </w:pPr>
      <w:r>
        <w:rPr>
          <w:rFonts w:ascii="Noto Sans CJK SC" w:hAnsi="Noto Sans CJK SC" w:eastAsia="Noto Sans CJK SC" w:cs="Noto Sans CJK SC"/>
        </w:rPr>
        <w:t>ΔrEMB、ΔvEMB；</w:t>
      </w:r>
    </w:p>
    <w:p>
      <w:pPr>
        <w:pStyle w:val="ListBullet"/>
        <w:spacing w:after="60" w:line="300" w:lineRule="auto"/>
      </w:pPr>
      <w:r>
        <w:rPr>
          <w:rFonts w:ascii="Noto Sans CJK SC" w:hAnsi="Noto Sans CJK SC" w:eastAsia="Noto Sans CJK SC" w:cs="Noto Sans CJK SC"/>
        </w:rPr>
        <w:t>必要时再看积分过程中能量样式或其他适用于当前简化模型的诊断量。</w:t>
      </w:r>
    </w:p>
    <w:tbl>
      <w:tblPr>
        <w:tblW w:type="auto" w:w="0"/>
        <w:jc w:val="center"/>
        <w:tblLayout w:type="autofit"/>
        <w:tblLook w:firstColumn="1" w:firstRow="1" w:lastColumn="0" w:lastRow="0" w:noHBand="0" w:noVBand="1" w:val="04A0"/>
      </w:tblPr>
      <w:tblGrid>
        <w:gridCol w:w="9412"/>
      </w:tblGrid>
      <w:tr>
        <w:tc>
          <w:tcPr>
            <w:tcW w:type="dxa" w:w="9412"/>
            <w:shd w:fill="D9EAF7"/>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解释原则</w:t>
            </w:r>
          </w:p>
          <w:p>
            <w:pPr>
              <w:spacing w:after="0" w:line="300" w:lineRule="auto"/>
            </w:pPr>
            <w:r>
              <w:rPr>
                <w:rFonts w:ascii="Noto Sans CJK SC" w:hAnsi="Noto Sans CJK SC" w:eastAsia="Noto Sans CJK SC" w:cs="Noto Sans CJK SC"/>
                <w:sz w:val="20"/>
              </w:rPr>
              <w:t>若纯 ODE forward-backward 已经出现厘米到米级闭合误差，则 ABMD 核心实现必然存在问题；若纯 ODE 可闭合到 mm 甚至更好，但一启用 tide/history 就开始长弧漂移，则问题会强烈指向 delay/history 模块。</w:t>
            </w:r>
          </w:p>
        </w:tc>
      </w:tr>
    </w:tbl>
    <w:p>
      <w:pPr>
        <w:spacing w:after="0"/>
      </w:pPr>
    </w:p>
    <w:p>
      <w:pPr>
        <w:pStyle w:val="Heading1"/>
        <w:keepNext/>
        <w:spacing w:before="200" w:after="100"/>
      </w:pPr>
      <w:r>
        <w:t>8. 如何验证“是否真的是浮点舍入”</w:t>
      </w:r>
    </w:p>
    <w:p>
      <w:pPr>
        <w:spacing w:after="120" w:line="324" w:lineRule="auto"/>
        <w:ind w:firstLine="420"/>
      </w:pPr>
      <w:r>
        <w:rPr>
          <w:rFonts w:ascii="Noto Sans CJK SC" w:hAnsi="Noto Sans CJK SC" w:eastAsia="Noto Sans CJK SC" w:cs="Noto Sans CJK SC"/>
        </w:rPr>
        <w:t>如果完成上述实验后仍然怀疑 roundoff，不建议一开始就把全程序改成 quad precision。更高效的做法是只提高 ABMD 内部关键数值状态的精度：</w:t>
      </w:r>
    </w:p>
    <w:p>
      <w:pPr>
        <w:pStyle w:val="ListBullet"/>
        <w:spacing w:after="60" w:line="300" w:lineRule="auto"/>
      </w:pPr>
      <w:r>
        <w:rPr>
          <w:rFonts w:ascii="Noto Sans CJK SC" w:hAnsi="Noto Sans CJK SC" w:eastAsia="Noto Sans CJK SC" w:cs="Noto Sans CJK SC"/>
        </w:rPr>
        <w:t>主积分 state；</w:t>
      </w:r>
    </w:p>
    <w:p>
      <w:pPr>
        <w:pStyle w:val="ListBullet"/>
        <w:spacing w:after="60" w:line="300" w:lineRule="auto"/>
      </w:pPr>
      <w:r>
        <w:rPr>
          <w:rFonts w:ascii="Noto Sans CJK SC" w:hAnsi="Noto Sans CJK SC" w:eastAsia="Noto Sans CJK SC" w:cs="Noto Sans CJK SC"/>
        </w:rPr>
        <w:t>backward-difference table；</w:t>
      </w:r>
    </w:p>
    <w:p>
      <w:pPr>
        <w:pStyle w:val="ListBullet"/>
        <w:spacing w:after="60" w:line="300" w:lineRule="auto"/>
      </w:pPr>
      <w:r>
        <w:rPr>
          <w:rFonts w:ascii="Noto Sans CJK SC" w:hAnsi="Noto Sans CJK SC" w:eastAsia="Noto Sans CJK SC" w:cs="Noto Sans CJK SC"/>
        </w:rPr>
        <w:t>predictor/corrector 中的高阶线性组合累加。</w:t>
      </w:r>
    </w:p>
    <w:p>
      <w:pPr>
        <w:spacing w:after="120" w:line="324" w:lineRule="auto"/>
        <w:ind w:firstLine="420"/>
      </w:pPr>
      <w:r>
        <w:rPr>
          <w:rFonts w:ascii="Noto Sans CJK SC" w:hAnsi="Noto Sans CJK SC" w:eastAsia="Noto Sans CJK SC" w:cs="Noto Sans CJK SC"/>
        </w:rPr>
        <w:t>外部 DE440/SPK 数据保持 double 仍然可以，因为测试目的不是生成最终高精度历表，而是判断 ABMD 内部算术是否对精度敏感。</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969"/>
            <w:vAlign w:val="center"/>
            <w:shd w:fill="1F4E79"/>
          </w:tcPr>
          <w:p>
            <w:r>
              <w:rPr>
                <w:rFonts w:ascii="Noto Sans CJK SC" w:hAnsi="Noto Sans CJK SC" w:eastAsia="Noto Sans CJK SC" w:cs="Noto Sans CJK SC"/>
                <w:b/>
                <w:color w:val="FFFFFF"/>
                <w:sz w:val="18"/>
              </w:rPr>
              <w:t>float64 → long double 后的变化</w:t>
            </w:r>
          </w:p>
        </w:tc>
        <w:tc>
          <w:tcPr>
            <w:tcW w:type="dxa" w:w="4762"/>
            <w:vAlign w:val="center"/>
            <w:shd w:fill="1F4E79"/>
          </w:tcPr>
          <w:p>
            <w:r>
              <w:rPr>
                <w:rFonts w:ascii="Noto Sans CJK SC" w:hAnsi="Noto Sans CJK SC" w:eastAsia="Noto Sans CJK SC" w:cs="Noto Sans CJK SC"/>
                <w:b/>
                <w:color w:val="FFFFFF"/>
                <w:sz w:val="18"/>
              </w:rPr>
              <w:t>解释</w:t>
            </w:r>
          </w:p>
        </w:tc>
      </w:tr>
      <w:tr>
        <w:tc>
          <w:tcPr>
            <w:tcW w:type="dxa" w:w="3969"/>
            <w:vAlign w:val="center"/>
          </w:tcPr>
          <w:p>
            <w:r>
              <w:rPr>
                <w:rFonts w:ascii="Noto Sans CJK SC" w:hAnsi="Noto Sans CJK SC" w:eastAsia="Noto Sans CJK SC" w:cs="Noto Sans CJK SC"/>
                <w:b w:val="0"/>
                <w:color w:val="1F2933"/>
                <w:sz w:val="18"/>
              </w:rPr>
              <w:t>约 15 m → 仍约 15 m</w:t>
            </w:r>
          </w:p>
        </w:tc>
        <w:tc>
          <w:tcPr>
            <w:tcW w:type="dxa" w:w="4762"/>
            <w:vAlign w:val="center"/>
          </w:tcPr>
          <w:p>
            <w:r>
              <w:rPr>
                <w:rFonts w:ascii="Noto Sans CJK SC" w:hAnsi="Noto Sans CJK SC" w:eastAsia="Noto Sans CJK SC" w:cs="Noto Sans CJK SC"/>
                <w:b w:val="0"/>
                <w:color w:val="1F2933"/>
                <w:sz w:val="18"/>
              </w:rPr>
              <w:t>基本排除“浮点精度本身”是主因，转向模型或逻辑实现。</w:t>
            </w:r>
          </w:p>
        </w:tc>
      </w:tr>
      <w:tr>
        <w:tc>
          <w:tcPr>
            <w:tcW w:type="dxa" w:w="3969"/>
            <w:vAlign w:val="center"/>
            <w:shd w:fill="F3F5F7"/>
          </w:tcPr>
          <w:p>
            <w:r>
              <w:rPr>
                <w:rFonts w:ascii="Noto Sans CJK SC" w:hAnsi="Noto Sans CJK SC" w:eastAsia="Noto Sans CJK SC" w:cs="Noto Sans CJK SC"/>
                <w:b w:val="0"/>
                <w:color w:val="1F2933"/>
                <w:sz w:val="18"/>
              </w:rPr>
              <w:t>约 15 m → 显著下降到 cm/mm</w:t>
            </w:r>
          </w:p>
        </w:tc>
        <w:tc>
          <w:tcPr>
            <w:tcW w:type="dxa" w:w="4762"/>
            <w:vAlign w:val="center"/>
            <w:shd w:fill="F3F5F7"/>
          </w:tcPr>
          <w:p>
            <w:r>
              <w:rPr>
                <w:rFonts w:ascii="Noto Sans CJK SC" w:hAnsi="Noto Sans CJK SC" w:eastAsia="Noto Sans CJK SC" w:cs="Noto Sans CJK SC"/>
                <w:b w:val="0"/>
                <w:color w:val="1F2933"/>
                <w:sz w:val="18"/>
              </w:rPr>
              <w:t>说明当前 ABMD 数值表示确实放大了舍入误差。</w:t>
            </w:r>
          </w:p>
        </w:tc>
      </w:tr>
    </w:tbl>
    <w:p>
      <w:pPr>
        <w:spacing w:after="0"/>
      </w:pPr>
    </w:p>
    <w:p>
      <w:pPr>
        <w:spacing w:after="120" w:line="324" w:lineRule="auto"/>
        <w:ind w:firstLine="420"/>
      </w:pPr>
      <w:r>
        <w:rPr>
          <w:rFonts w:ascii="Noto Sans CJK SC" w:hAnsi="Noto Sans CJK SC" w:eastAsia="Noto Sans CJK SC" w:cs="Noto Sans CJK SC"/>
        </w:rPr>
        <w:t>若后者成立，下一步优先考虑的并不是永久使用更高精度，而是改进数值表示，例如周期性/逐步重建差分表、Nordsieck representation 或对高阶累加采用 compensated summation。</w:t>
      </w:r>
    </w:p>
    <w:p>
      <w:pPr>
        <w:pStyle w:val="Heading1"/>
        <w:keepNext/>
        <w:spacing w:before="200" w:after="100"/>
      </w:pPr>
      <w:r>
        <w:t>9. 当前根因优先级</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18"/>
            <w:vAlign w:val="center"/>
            <w:shd w:fill="1F4E79"/>
          </w:tcPr>
          <w:p>
            <w:r>
              <w:rPr>
                <w:rFonts w:ascii="Noto Sans CJK SC" w:hAnsi="Noto Sans CJK SC" w:eastAsia="Noto Sans CJK SC" w:cs="Noto Sans CJK SC"/>
                <w:b/>
                <w:color w:val="FFFFFF"/>
                <w:sz w:val="18"/>
              </w:rPr>
              <w:t>候选原因</w:t>
            </w:r>
          </w:p>
        </w:tc>
        <w:tc>
          <w:tcPr>
            <w:tcW w:type="dxa" w:w="1587"/>
            <w:vAlign w:val="center"/>
            <w:shd w:fill="1F4E79"/>
          </w:tcPr>
          <w:p>
            <w:r>
              <w:rPr>
                <w:rFonts w:ascii="Noto Sans CJK SC" w:hAnsi="Noto Sans CJK SC" w:eastAsia="Noto Sans CJK SC" w:cs="Noto Sans CJK SC"/>
                <w:b/>
                <w:color w:val="FFFFFF"/>
                <w:sz w:val="18"/>
              </w:rPr>
              <w:t>当前优先级</w:t>
            </w:r>
          </w:p>
        </w:tc>
        <w:tc>
          <w:tcPr>
            <w:tcW w:type="dxa" w:w="4082"/>
            <w:vAlign w:val="center"/>
            <w:shd w:fill="1F4E79"/>
          </w:tcPr>
          <w:p>
            <w:r>
              <w:rPr>
                <w:rFonts w:ascii="Noto Sans CJK SC" w:hAnsi="Noto Sans CJK SC" w:eastAsia="Noto Sans CJK SC" w:cs="Noto Sans CJK SC"/>
                <w:b/>
                <w:color w:val="FFFFFF"/>
                <w:sz w:val="18"/>
              </w:rPr>
              <w:t>说明</w:t>
            </w:r>
          </w:p>
        </w:tc>
      </w:tr>
      <w:tr>
        <w:tc>
          <w:tcPr>
            <w:tcW w:type="dxa" w:w="3118"/>
            <w:vAlign w:val="center"/>
          </w:tcPr>
          <w:p>
            <w:r>
              <w:rPr>
                <w:rFonts w:ascii="Noto Sans CJK SC" w:hAnsi="Noto Sans CJK SC" w:eastAsia="Noto Sans CJK SC" w:cs="Noto Sans CJK SC"/>
                <w:b w:val="0"/>
                <w:color w:val="1F2933"/>
                <w:sz w:val="18"/>
              </w:rPr>
              <w:t>纯 float64 精度不足</w:t>
            </w:r>
          </w:p>
        </w:tc>
        <w:tc>
          <w:tcPr>
            <w:tcW w:type="dxa" w:w="1587"/>
            <w:vAlign w:val="center"/>
          </w:tcPr>
          <w:p>
            <w:r>
              <w:rPr>
                <w:rFonts w:ascii="Noto Sans CJK SC" w:hAnsi="Noto Sans CJK SC" w:eastAsia="Noto Sans CJK SC" w:cs="Noto Sans CJK SC"/>
                <w:b w:val="0"/>
                <w:color w:val="1F2933"/>
                <w:sz w:val="18"/>
              </w:rPr>
              <w:t>低</w:t>
            </w:r>
          </w:p>
        </w:tc>
        <w:tc>
          <w:tcPr>
            <w:tcW w:type="dxa" w:w="4082"/>
            <w:vAlign w:val="center"/>
          </w:tcPr>
          <w:p>
            <w:r>
              <w:rPr>
                <w:rFonts w:ascii="Noto Sans CJK SC" w:hAnsi="Noto Sans CJK SC" w:eastAsia="Noto Sans CJK SC" w:cs="Noto Sans CJK SC"/>
                <w:b w:val="0"/>
                <w:color w:val="1F2933"/>
                <w:sz w:val="18"/>
              </w:rPr>
              <w:t>量级与残差形态均不支持作为首要解释。</w:t>
            </w:r>
          </w:p>
        </w:tc>
      </w:tr>
      <w:tr>
        <w:tc>
          <w:tcPr>
            <w:tcW w:type="dxa" w:w="3118"/>
            <w:vAlign w:val="center"/>
            <w:shd w:fill="F3F5F7"/>
          </w:tcPr>
          <w:p>
            <w:r>
              <w:rPr>
                <w:rFonts w:ascii="Noto Sans CJK SC" w:hAnsi="Noto Sans CJK SC" w:eastAsia="Noto Sans CJK SC" w:cs="Noto Sans CJK SC"/>
                <w:b w:val="0"/>
                <w:color w:val="1F2933"/>
                <w:sz w:val="18"/>
              </w:rPr>
              <w:t>ABM13 + 5400 s 方法本身不适合长弧</w:t>
            </w:r>
          </w:p>
        </w:tc>
        <w:tc>
          <w:tcPr>
            <w:tcW w:type="dxa" w:w="1587"/>
            <w:vAlign w:val="center"/>
            <w:shd w:fill="F3F5F7"/>
          </w:tcPr>
          <w:p>
            <w:r>
              <w:rPr>
                <w:rFonts w:ascii="Noto Sans CJK SC" w:hAnsi="Noto Sans CJK SC" w:eastAsia="Noto Sans CJK SC" w:cs="Noto Sans CJK SC"/>
                <w:b w:val="0"/>
                <w:color w:val="1F2933"/>
                <w:sz w:val="18"/>
              </w:rPr>
              <w:t>低</w:t>
            </w:r>
          </w:p>
        </w:tc>
        <w:tc>
          <w:tcPr>
            <w:tcW w:type="dxa" w:w="4082"/>
            <w:vAlign w:val="center"/>
            <w:shd w:fill="F3F5F7"/>
          </w:tcPr>
          <w:p>
            <w:r>
              <w:rPr>
                <w:rFonts w:ascii="Noto Sans CJK SC" w:hAnsi="Noto Sans CJK SC" w:eastAsia="Noto Sans CJK SC" w:cs="Noto Sans CJK SC"/>
                <w:b w:val="0"/>
                <w:color w:val="1F2933"/>
                <w:sz w:val="18"/>
              </w:rPr>
              <w:t>文献存在同阶同步长的长期月球积分验证。</w:t>
            </w:r>
          </w:p>
        </w:tc>
      </w:tr>
      <w:tr>
        <w:tc>
          <w:tcPr>
            <w:tcW w:type="dxa" w:w="3118"/>
            <w:vAlign w:val="center"/>
          </w:tcPr>
          <w:p>
            <w:r>
              <w:rPr>
                <w:rFonts w:ascii="Noto Sans CJK SC" w:hAnsi="Noto Sans CJK SC" w:eastAsia="Noto Sans CJK SC" w:cs="Noto Sans CJK SC"/>
                <w:b w:val="0"/>
                <w:color w:val="1F2933"/>
                <w:sz w:val="18"/>
              </w:rPr>
              <w:t>ABMD / history 实现细节</w:t>
            </w:r>
          </w:p>
        </w:tc>
        <w:tc>
          <w:tcPr>
            <w:tcW w:type="dxa" w:w="1587"/>
            <w:vAlign w:val="center"/>
          </w:tcPr>
          <w:p>
            <w:r>
              <w:rPr>
                <w:rFonts w:ascii="Noto Sans CJK SC" w:hAnsi="Noto Sans CJK SC" w:eastAsia="Noto Sans CJK SC" w:cs="Noto Sans CJK SC"/>
                <w:b w:val="0"/>
                <w:color w:val="1F2933"/>
                <w:sz w:val="18"/>
              </w:rPr>
              <w:t>中</w:t>
            </w:r>
          </w:p>
        </w:tc>
        <w:tc>
          <w:tcPr>
            <w:tcW w:type="dxa" w:w="4082"/>
            <w:vAlign w:val="center"/>
          </w:tcPr>
          <w:p>
            <w:r>
              <w:rPr>
                <w:rFonts w:ascii="Noto Sans CJK SC" w:hAnsi="Noto Sans CJK SC" w:eastAsia="Noto Sans CJK SC" w:cs="Noto Sans CJK SC"/>
                <w:b w:val="0"/>
                <w:color w:val="1F2933"/>
                <w:sz w:val="18"/>
              </w:rPr>
              <w:t>高阶差分递推、PECEC commit、startup、delay history 均有可疑实现点。</w:t>
            </w:r>
          </w:p>
        </w:tc>
      </w:tr>
      <w:tr>
        <w:tc>
          <w:tcPr>
            <w:tcW w:type="dxa" w:w="3118"/>
            <w:vAlign w:val="center"/>
            <w:shd w:fill="F3F5F7"/>
          </w:tcPr>
          <w:p>
            <w:r>
              <w:rPr>
                <w:rFonts w:ascii="Noto Sans CJK SC" w:hAnsi="Noto Sans CJK SC" w:eastAsia="Noto Sans CJK SC" w:cs="Noto Sans CJK SC"/>
                <w:b w:val="0"/>
                <w:color w:val="1F2933"/>
                <w:sz w:val="18"/>
              </w:rPr>
              <w:t>DE440 长期动力学项未完全复现</w:t>
            </w:r>
          </w:p>
        </w:tc>
        <w:tc>
          <w:tcPr>
            <w:tcW w:type="dxa" w:w="1587"/>
            <w:vAlign w:val="center"/>
            <w:shd w:fill="F3F5F7"/>
          </w:tcPr>
          <w:p>
            <w:r>
              <w:rPr>
                <w:rFonts w:ascii="Noto Sans CJK SC" w:hAnsi="Noto Sans CJK SC" w:eastAsia="Noto Sans CJK SC" w:cs="Noto Sans CJK SC"/>
                <w:b w:val="0"/>
                <w:color w:val="1F2933"/>
                <w:sz w:val="18"/>
              </w:rPr>
              <w:t>中高</w:t>
            </w:r>
          </w:p>
        </w:tc>
        <w:tc>
          <w:tcPr>
            <w:tcW w:type="dxa" w:w="4082"/>
            <w:vAlign w:val="center"/>
            <w:shd w:fill="F3F5F7"/>
          </w:tcPr>
          <w:p>
            <w:r>
              <w:rPr>
                <w:rFonts w:ascii="Noto Sans CJK SC" w:hAnsi="Noto Sans CJK SC" w:eastAsia="Noto Sans CJK SC" w:cs="Noto Sans CJK SC"/>
                <w:b w:val="0"/>
                <w:color w:val="1F2933"/>
                <w:sz w:val="18"/>
              </w:rPr>
              <w:t>Earth J2(t)、lunar dynamic degree-2/inertia、潮汐时延等仍未完全闭合。</w:t>
            </w:r>
          </w:p>
        </w:tc>
      </w:tr>
    </w:tbl>
    <w:p>
      <w:pPr>
        <w:spacing w:after="0"/>
      </w:pPr>
    </w:p>
    <w:p>
      <w:pPr>
        <w:pStyle w:val="Heading1"/>
        <w:keepNext/>
        <w:spacing w:before="200" w:after="100"/>
      </w:pPr>
      <w:r>
        <w:t>10. 建议新增的诊断输出</w:t>
      </w:r>
    </w:p>
    <w:p>
      <w:pPr>
        <w:spacing w:after="120" w:line="324" w:lineRule="auto"/>
        <w:ind w:firstLine="420"/>
      </w:pPr>
      <w:r>
        <w:rPr>
          <w:rFonts w:ascii="Noto Sans CJK SC" w:hAnsi="Noto Sans CJK SC" w:eastAsia="Noto Sans CJK SC" w:cs="Noto Sans CJK SC"/>
        </w:rPr>
        <w:t>为了让后续实验不再只依赖“5 年、10 年两个终点”，建议每 1–5 天输出一次 RTN residual，并对切向残差做低阶时间多项式拟合：</w:t>
      </w:r>
    </w:p>
    <w:p>
      <w:pPr>
        <w:spacing w:before="100" w:after="140"/>
        <w:jc w:val="center"/>
      </w:pPr>
      <w:r>
        <w:rPr>
          <w:rFonts w:ascii="Noto Serif CJK SC" w:hAnsi="Noto Serif CJK SC" w:eastAsia="Noto Serif CJK SC" w:cs="Noto Serif CJK SC"/>
          <w:sz w:val="22"/>
        </w:rPr>
        <w:t>T(t) = c₀ + c₁t + c₂t² + c₃t³</w:t>
      </w:r>
    </w:p>
    <w:p>
      <w:pPr>
        <w:spacing w:after="120" w:line="324" w:lineRule="auto"/>
        <w:ind w:firstLine="420"/>
      </w:pPr>
      <w:r>
        <w:rPr>
          <w:rFonts w:ascii="Noto Sans CJK SC" w:hAnsi="Noto Sans CJK SC" w:eastAsia="Noto Sans CJK SC" w:cs="Noto Sans CJK SC"/>
        </w:rPr>
        <w:t>该拟合不能直接识别具体物理力项，但可以帮助判断长期误差的结构：若残差是平滑的低阶趋势，优先检查模型和耗散/时变项；若出现慢增长的高频纹波、步长相关振荡或重建差分表后明显变化，则更应检查 ABMD 数值稳定性。</w:t>
      </w:r>
    </w:p>
    <w:p>
      <w:pPr>
        <w:spacing w:after="120" w:line="324" w:lineRule="auto"/>
        <w:ind w:firstLine="420"/>
      </w:pPr>
      <w:r>
        <w:rPr>
          <w:rFonts w:ascii="Noto Sans CJK SC" w:hAnsi="Noto Sans CJK SC" w:eastAsia="Noto Sans CJK SC" w:cs="Noto Sans CJK SC"/>
        </w:rPr>
        <w:t>建议每个实验同时记录以下元数据，保证结果可复现：</w:t>
      </w:r>
    </w:p>
    <w:p>
      <w:pPr>
        <w:pStyle w:val="ListBullet"/>
        <w:spacing w:after="60" w:line="300" w:lineRule="auto"/>
      </w:pPr>
      <w:r>
        <w:rPr>
          <w:rFonts w:ascii="Noto Sans CJK SC" w:hAnsi="Noto Sans CJK SC" w:eastAsia="Noto Sans CJK SC" w:cs="Noto Sans CJK SC"/>
        </w:rPr>
        <w:t>积分器名称、阶数、主步长、startup 方法及 startup 子步长；</w:t>
      </w:r>
    </w:p>
    <w:p>
      <w:pPr>
        <w:pStyle w:val="ListBullet"/>
        <w:spacing w:after="60" w:line="300" w:lineRule="auto"/>
      </w:pPr>
      <w:r>
        <w:rPr>
          <w:rFonts w:ascii="Noto Sans CJK SC" w:hAnsi="Noto Sans CJK SC" w:eastAsia="Noto Sans CJK SC" w:cs="Noto Sans CJK SC"/>
        </w:rPr>
        <w:t>PECEC/PECE 等具体 correction 次序；</w:t>
      </w:r>
    </w:p>
    <w:p>
      <w:pPr>
        <w:pStyle w:val="ListBullet"/>
        <w:spacing w:after="60" w:line="300" w:lineRule="auto"/>
      </w:pPr>
      <w:r>
        <w:rPr>
          <w:rFonts w:ascii="Noto Sans CJK SC" w:hAnsi="Noto Sans CJK SC" w:eastAsia="Noto Sans CJK SC" w:cs="Noto Sans CJK SC"/>
        </w:rPr>
        <w:t>difference table 的构造/重建策略；</w:t>
      </w:r>
    </w:p>
    <w:p>
      <w:pPr>
        <w:pStyle w:val="ListBullet"/>
        <w:spacing w:after="60" w:line="300" w:lineRule="auto"/>
      </w:pPr>
      <w:r>
        <w:rPr>
          <w:rFonts w:ascii="Noto Sans CJK SC" w:hAnsi="Noto Sans CJK SC" w:eastAsia="Noto Sans CJK SC" w:cs="Noto Sans CJK SC"/>
        </w:rPr>
        <w:t>tide/history 缓存长度、插值阶数、历史来源切换时刻；</w:t>
      </w:r>
    </w:p>
    <w:p>
      <w:pPr>
        <w:pStyle w:val="ListBullet"/>
        <w:spacing w:after="60" w:line="300" w:lineRule="auto"/>
      </w:pPr>
      <w:r>
        <w:rPr>
          <w:rFonts w:ascii="Noto Sans CJK SC" w:hAnsi="Noto Sans CJK SC" w:eastAsia="Noto Sans CJK SC" w:cs="Noto Sans CJK SC"/>
        </w:rPr>
        <w:t>Earth/Moon GM 与球谐模型版本；</w:t>
      </w:r>
    </w:p>
    <w:p>
      <w:pPr>
        <w:pStyle w:val="ListBullet"/>
        <w:spacing w:after="60" w:line="300" w:lineRule="auto"/>
      </w:pPr>
      <w:r>
        <w:rPr>
          <w:rFonts w:ascii="Noto Sans CJK SC" w:hAnsi="Noto Sans CJK SC" w:eastAsia="Noto Sans CJK SC" w:cs="Noto Sans CJK SC"/>
        </w:rPr>
        <w:t>Earth J2 是否含时间项、lunarInertia 是否启用；</w:t>
      </w:r>
    </w:p>
    <w:p>
      <w:pPr>
        <w:pStyle w:val="ListBullet"/>
        <w:spacing w:after="60" w:line="300" w:lineRule="auto"/>
      </w:pPr>
      <w:r>
        <w:rPr>
          <w:rFonts w:ascii="Noto Sans CJK SC" w:hAnsi="Noto Sans CJK SC" w:eastAsia="Noto Sans CJK SC" w:cs="Noto Sans CJK SC"/>
        </w:rPr>
        <w:t>EIH source 集合与 point-mass acceleration 的定义；</w:t>
      </w:r>
    </w:p>
    <w:p>
      <w:pPr>
        <w:pStyle w:val="ListBullet"/>
        <w:spacing w:after="60" w:line="300" w:lineRule="auto"/>
      </w:pPr>
      <w:r>
        <w:rPr>
          <w:rFonts w:ascii="Noto Sans CJK SC" w:hAnsi="Noto Sans CJK SC" w:eastAsia="Noto Sans CJK SC" w:cs="Noto Sans CJK SC"/>
        </w:rPr>
        <w:t>输出采样间隔、RTN 构造方式以及参考历表版本。</w:t>
      </w:r>
    </w:p>
    <w:p>
      <w:pPr>
        <w:pStyle w:val="Heading1"/>
        <w:keepNext/>
        <w:spacing w:before="200" w:after="100"/>
      </w:pPr>
      <w:r>
        <w:t>11. 推荐执行顺序</w:t>
      </w:r>
    </w:p>
    <w:p>
      <w:pPr>
        <w:pStyle w:val="ListNumber"/>
        <w:spacing w:after="60" w:line="300" w:lineRule="auto"/>
      </w:pPr>
      <w:r>
        <w:rPr>
          <w:rFonts w:ascii="Noto Sans CJK SC" w:hAnsi="Noto Sans CJK SC" w:eastAsia="Noto Sans CJK SC" w:cs="Noto Sans CJK SC"/>
        </w:rPr>
        <w:t>先把 ABMD startup 固定为与主方案一致的高精度单步启动；对于 5400 s 主步长，优先采用 675 s 的 DP8/DOP853 子步长生成规则历史节点。</w:t>
      </w:r>
    </w:p>
    <w:p>
      <w:pPr>
        <w:pStyle w:val="ListNumber"/>
        <w:spacing w:after="60" w:line="300" w:lineRule="auto"/>
      </w:pPr>
      <w:r>
        <w:rPr>
          <w:rFonts w:ascii="Noto Sans CJK SC" w:hAnsi="Noto Sans CJK SC" w:eastAsia="Noto Sans CJK SC" w:cs="Noto Sans CJK SC"/>
        </w:rPr>
        <w:t>完成 10 年 ABMD13 的 5400 / 2700 / 1350 s 步长收敛。</w:t>
      </w:r>
    </w:p>
    <w:p>
      <w:pPr>
        <w:pStyle w:val="ListNumber"/>
        <w:spacing w:after="60" w:line="300" w:lineRule="auto"/>
      </w:pPr>
      <w:r>
        <w:rPr>
          <w:rFonts w:ascii="Noto Sans CJK SC" w:hAnsi="Noto Sans CJK SC" w:eastAsia="Noto Sans CJK SC" w:cs="Noto Sans CJK SC"/>
        </w:rPr>
        <w:t>使用完全相同的 RHS、参数、初值跑一条高精度 DOP853 10 年参考轨道，并直接比较 ABMD − DOP853，而不仅仅是各自与 DE440 比较。</w:t>
      </w:r>
    </w:p>
    <w:p>
      <w:pPr>
        <w:pStyle w:val="ListNumber"/>
        <w:spacing w:after="60" w:line="300" w:lineRule="auto"/>
      </w:pPr>
      <w:r>
        <w:rPr>
          <w:rFonts w:ascii="Noto Sans CJK SC" w:hAnsi="Noto Sans CJK SC" w:eastAsia="Noto Sans CJK SC" w:cs="Noto Sans CJK SC"/>
        </w:rPr>
        <w:t>关闭 tide/delay，执行 10 年 forward-backward；若不能高精度闭合，先停止排查物理模型，集中修 ABMD core。</w:t>
      </w:r>
    </w:p>
    <w:p>
      <w:pPr>
        <w:pStyle w:val="ListNumber"/>
        <w:spacing w:after="60" w:line="300" w:lineRule="auto"/>
      </w:pPr>
      <w:r>
        <w:rPr>
          <w:rFonts w:ascii="Noto Sans CJK SC" w:hAnsi="Noto Sans CJK SC" w:eastAsia="Noto Sans CJK SC" w:cs="Noto Sans CJK SC"/>
        </w:rPr>
        <w:t>增加“每步重建 backward-difference table”版本；如果长期误差明显下降，再进一步研究 Nordsieck/compensated summation 等更稳定的表示。</w:t>
      </w:r>
    </w:p>
    <w:p>
      <w:pPr>
        <w:pStyle w:val="ListNumber"/>
        <w:spacing w:after="60" w:line="300" w:lineRule="auto"/>
      </w:pPr>
      <w:r>
        <w:rPr>
          <w:rFonts w:ascii="Noto Sans CJK SC" w:hAnsi="Noto Sans CJK SC" w:eastAsia="Noto Sans CJK SC" w:cs="Noto Sans CJK SC"/>
        </w:rPr>
        <w:t>若 ABMD 与 DOP853 对同一 RHS 基本一致，则开始按 Earth J2(t) → tide/history → lunar dynamic degree-2/inertia → EIH 语义的顺序做动力学消融。</w:t>
      </w:r>
    </w:p>
    <w:p>
      <w:pPr>
        <w:pStyle w:val="ListNumber"/>
        <w:spacing w:after="60" w:line="300" w:lineRule="auto"/>
      </w:pPr>
      <w:r>
        <w:rPr>
          <w:rFonts w:ascii="Noto Sans CJK SC" w:hAnsi="Noto Sans CJK SC" w:eastAsia="Noto Sans CJK SC" w:cs="Noto Sans CJK SC"/>
        </w:rPr>
        <w:t>最后再用 long double 做一次定点验证，而不是把提高浮点精度当成第一解决方案。</w:t>
      </w:r>
    </w:p>
    <w:p>
      <w:pPr>
        <w:pStyle w:val="Heading1"/>
        <w:keepNext/>
        <w:spacing w:before="200" w:after="100"/>
      </w:pPr>
      <w:r>
        <w:t>12. 结论</w:t>
      </w:r>
    </w:p>
    <w:tbl>
      <w:tblPr>
        <w:tblW w:type="auto" w:w="0"/>
        <w:jc w:val="center"/>
        <w:tblLayout w:type="autofit"/>
        <w:tblLook w:firstColumn="1" w:firstRow="1" w:lastColumn="0" w:lastRow="0" w:noHBand="0" w:noVBand="1" w:val="04A0"/>
      </w:tblPr>
      <w:tblGrid>
        <w:gridCol w:w="9412"/>
      </w:tblGrid>
      <w:tr>
        <w:tc>
          <w:tcPr>
            <w:tcW w:type="dxa" w:w="9412"/>
            <w:shd w:fill="D9EAF7"/>
            <w:tcBorders>
              <w:top w:sz="8" w:val="single" w:color="1F4E79"/>
              <w:left w:sz="8" w:val="single" w:color="1F4E79"/>
              <w:bottom w:sz="8" w:val="single" w:color="1F4E79"/>
              <w:right w:sz="8" w:val="single" w:color="1F4E79"/>
            </w:tcBorders>
            <w:vAlign w:val="center"/>
          </w:tcPr>
          <w:p>
            <w:pPr>
              <w:spacing w:after="60"/>
            </w:pPr>
            <w:r>
              <w:rPr>
                <w:rFonts w:ascii="Noto Sans CJK SC" w:hAnsi="Noto Sans CJK SC" w:eastAsia="Noto Sans CJK SC" w:cs="Noto Sans CJK SC"/>
                <w:b/>
                <w:color w:val="1F4E79"/>
                <w:sz w:val="21"/>
              </w:rPr>
              <w:t>当前最稳妥的结论</w:t>
            </w:r>
          </w:p>
          <w:p>
            <w:pPr>
              <w:spacing w:after="0" w:line="300" w:lineRule="auto"/>
            </w:pPr>
            <w:r>
              <w:rPr>
                <w:rFonts w:ascii="Noto Sans CJK SC" w:hAnsi="Noto Sans CJK SC" w:eastAsia="Noto Sans CJK SC" w:cs="Noto Sans CJK SC"/>
                <w:sz w:val="20"/>
              </w:rPr>
              <w:t>现有结果不足以把 10 年约 15 m 的差异归因于“积分器不行”或“浮点精度不够”。从误差方向、5→10 年增长速度、30 天步长收敛以及 ABMD 文献基准综合看，纯 float64 精度不足的可能性较低；真正需要区分的是 ABMD/history 的长弧实现问题与 DE440 长期动力学项未完全复现。</w:t>
            </w:r>
          </w:p>
        </w:tc>
      </w:tr>
    </w:tbl>
    <w:p>
      <w:pPr>
        <w:spacing w:after="0"/>
      </w:pPr>
    </w:p>
    <w:p>
      <w:pPr>
        <w:spacing w:after="120" w:line="324" w:lineRule="auto"/>
        <w:ind w:firstLine="420"/>
      </w:pPr>
      <w:r>
        <w:rPr>
          <w:rFonts w:ascii="Noto Sans CJK SC" w:hAnsi="Noto Sans CJK SC" w:eastAsia="Noto Sans CJK SC" w:cs="Noto Sans CJK SC"/>
        </w:rPr>
        <w:t>下一阶段最有信息量的两个结果是：① 完全相同 RHS 下的 ABMD–DOP853 10 年差值；② ABMD13 在 5400/2700/1350 s 三个步长下的 10 年收敛曲线。它们一旦给出，就可以大幅减少盲目排查范围。</w:t>
      </w:r>
    </w:p>
    <w:p>
      <w:pPr>
        <w:pStyle w:val="Heading1"/>
        <w:keepNext/>
        <w:spacing w:before="200" w:after="100"/>
      </w:pPr>
      <w:r>
        <w:t>参考依据</w:t>
      </w:r>
    </w:p>
    <w:p>
      <w:pPr>
        <w:spacing w:after="100"/>
        <w:ind w:left="283" w:hanging="283"/>
      </w:pPr>
      <w:r>
        <w:rPr>
          <w:rFonts w:ascii="Noto Sans CJK SC" w:hAnsi="Noto Sans CJK SC" w:eastAsia="Noto Sans CJK SC" w:cs="Noto Sans CJK SC"/>
          <w:sz w:val="18"/>
        </w:rPr>
        <w:t>[1] 项目内部诊断记录：LUNAR_ORBIT_10Y_DIAGNOSIS.md，2026-09-18。</w:t>
      </w:r>
    </w:p>
    <w:p>
      <w:pPr>
        <w:spacing w:after="100"/>
        <w:ind w:left="283" w:hanging="283"/>
      </w:pPr>
      <w:r>
        <w:rPr>
          <w:rFonts w:ascii="Noto Sans CJK SC" w:hAnsi="Noto Sans CJK SC" w:eastAsia="Noto Sans CJK SC" w:cs="Noto Sans CJK SC"/>
          <w:sz w:val="18"/>
        </w:rPr>
        <w:t>[2] Aksim, D.; Pavlov, D. (2020). On the Extension of Adams–Bashforth–Moulton Methods for Numerical Integration of Delay Differential Equations and Application to the Moon’s Orbit. Mathematics in Computer Science, 14, 103–109.</w:t>
      </w:r>
    </w:p>
    <w:sectPr w:rsidR="00FC693F" w:rsidRPr="0006063C" w:rsidSect="00034616">
      <w:headerReference w:type="default" r:id="rId9"/>
      <w:footerReference w:type="default" r:id="rId10"/>
      <w:pgSz w:w="11906" w:h="16838"/>
      <w:pgMar w:top="1134"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color w:val="666666"/>
        <w:sz w:val="18"/>
      </w:rPr>
      <w:t xml:space="preserve">第 </w:t>
      <w:fldChar w:fldCharType="begin"/>
      <w:instrText xml:space="preserve"> PAGE </w:instrText>
      <w:fldChar w:fldCharType="end"/>
    </w:r>
    <w:r>
      <w:rPr>
        <w:rFonts w:ascii="Noto Sans CJK SC" w:hAnsi="Noto Sans CJK SC" w:eastAsia="Noto Sans CJK SC" w:cs="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666666"/>
        <w:sz w:val="18"/>
      </w:rPr>
      <w:t>月球轨道长弧积分误差诊断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29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rPr>
      <w:rFonts w:ascii="Noto Sans CJK SC" w:hAnsi="Noto Sans CJK SC" w:eastAsia="Noto Sans CJK SC"/>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