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5449865E" w:rsidR="0061096C" w:rsidRPr="001511C3" w:rsidRDefault="008248CC" w:rsidP="00C15486">
      <w:pPr>
        <w:pStyle w:val="Title"/>
      </w:pPr>
      <w:r w:rsidRPr="001511C3">
        <w:t xml:space="preserve">BAB </w:t>
      </w:r>
      <w:r w:rsidR="00946C46" w:rsidRPr="001511C3">
        <w:t>3</w:t>
      </w:r>
      <w:r w:rsidR="00C15486">
        <w:br/>
      </w:r>
      <w:r w:rsidRPr="001511C3">
        <w:t>ANALISIS DAN PERANCANGAN</w:t>
      </w:r>
      <w:r w:rsidR="00946C46" w:rsidRPr="001511C3">
        <w:t xml:space="preserve"> SISTEM</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77777777"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klasifikasi kualitas air di Danau Toba. </w:t>
      </w:r>
      <w:r w:rsidR="00E95751">
        <w:t>Bab ini juga membahas tentang data yang digunakan serta proses normalisasi data. Selain itu, bab ini juga membahas tentang proses training, testing, dan validasi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6459E819" w:rsidR="006F13B4" w:rsidRDefault="000F5196" w:rsidP="000F5196">
      <w:pPr>
        <w:jc w:val="center"/>
        <w:rPr>
          <w:lang w:val="en-US"/>
        </w:rPr>
      </w:pPr>
      <w:proofErr w:type="spellStart"/>
      <w:r w:rsidRPr="000F5196">
        <w:rPr>
          <w:b/>
          <w:bCs/>
          <w:lang w:val="en-US"/>
        </w:rPr>
        <w:t>Gambar</w:t>
      </w:r>
      <w:proofErr w:type="spellEnd"/>
      <w:r w:rsidRPr="000F5196">
        <w:rPr>
          <w:b/>
          <w:bCs/>
          <w:lang w:val="en-US"/>
        </w:rPr>
        <w:t xml:space="preserve"> 3.1.</w:t>
      </w:r>
      <w:r>
        <w:rPr>
          <w:lang w:val="en-US"/>
        </w:rPr>
        <w:t xml:space="preserve"> </w:t>
      </w:r>
      <w:r w:rsidR="00EC5BB8">
        <w:t xml:space="preserve">Bentuk dataset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6F13B4">
          <w:headerReference w:type="default" r:id="rId8"/>
          <w:footerReference w:type="first" r:id="rId9"/>
          <w:pgSz w:w="11906" w:h="16838"/>
          <w:pgMar w:top="2835" w:right="1418" w:bottom="1418" w:left="2155" w:header="851" w:footer="709" w:gutter="0"/>
          <w:pgNumType w:start="16"/>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10">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62B031C9"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w:t>
      </w:r>
      <w:r>
        <w:rPr>
          <w:rFonts w:cs="Angsana New"/>
          <w:iCs/>
          <w:szCs w:val="30"/>
        </w:rPr>
        <w:lastRenderedPageBreak/>
        <w:t xml:space="preserve">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Hal ini dilakukan untuk mengetahui jumlah neuron pada hidden layer yang sesuai untuk proses klasifikasi.</w:t>
      </w:r>
    </w:p>
    <w:p w14:paraId="0D549754" w14:textId="1D375B9D" w:rsidR="00986A9C" w:rsidRDefault="00E96D3F" w:rsidP="00DD12BF">
      <w:pPr>
        <w:pStyle w:val="Heading3"/>
        <w:ind w:left="646" w:hanging="646"/>
      </w:pPr>
      <w:r>
        <w:lastRenderedPageBreak/>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40EB1BA5"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klasifikasi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1D6B5D20"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p>
    <w:p w14:paraId="34814571" w14:textId="0E2362CF" w:rsidR="00072567" w:rsidRDefault="005509DF" w:rsidP="00E43589">
      <w:pPr>
        <w:pStyle w:val="Heading3"/>
      </w:pPr>
      <w:r>
        <w:t xml:space="preserve">Pengacakan </w:t>
      </w:r>
      <w:r w:rsidR="00072567">
        <w:t>input weight dan bias</w:t>
      </w:r>
    </w:p>
    <w:p w14:paraId="091DB05D" w14:textId="2B8C610E"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B41BC2">
        <w:t xml:space="preserve">hasil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9C14D3">
        <w:t>3</w:t>
      </w:r>
      <w:r w:rsidR="0071433F">
        <w:t>.</w:t>
      </w:r>
    </w:p>
    <w:p w14:paraId="6D95D450" w14:textId="77777777" w:rsidR="00176BAB" w:rsidRPr="00FB4139" w:rsidRDefault="00176BAB" w:rsidP="00FB4139">
      <w:pPr>
        <w:pStyle w:val="Gambar"/>
      </w:pPr>
    </w:p>
    <w:p w14:paraId="26891F8A" w14:textId="5BC9C3FC" w:rsidR="00604C8B" w:rsidRPr="00FB4139" w:rsidRDefault="00A46535" w:rsidP="00FB4139">
      <w:pPr>
        <w:pStyle w:val="Gambar"/>
        <w:rPr>
          <w:b w:val="0"/>
          <w:bCs w:val="0"/>
        </w:rPr>
      </w:pPr>
      <w:r w:rsidRPr="00FB4139">
        <w:t xml:space="preserve">Gambar </w:t>
      </w:r>
      <w:r w:rsidR="009C14D3" w:rsidRPr="00FB4139">
        <w:t>3.3</w:t>
      </w:r>
      <w:r w:rsidR="004528A0" w:rsidRPr="00FB4139">
        <w:t xml:space="preserve">. </w:t>
      </w:r>
      <w:r w:rsidR="004528A0" w:rsidRPr="00FB4139">
        <w:rPr>
          <w:b w:val="0"/>
          <w:bCs w:val="0"/>
        </w:rPr>
        <w:t>Ilustrasi</w:t>
      </w:r>
      <w:r w:rsidR="001B5FBE" w:rsidRPr="00FB4139">
        <w:rPr>
          <w:b w:val="0"/>
          <w:bCs w:val="0"/>
        </w:rPr>
        <w:t xml:space="preserve"> hasil pengacakan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0F2EDA08" w:rsidR="00072567" w:rsidRDefault="007000BD" w:rsidP="00072567">
      <w:r>
        <w:t xml:space="preserve">Setelah tahap pengacakan input weight dan bias selesai dilakukan, tahap yang akan dilakukan adalah penghitungan </w:t>
      </w:r>
      <w:r w:rsidRPr="008E13E1">
        <w:rPr>
          <w:i/>
          <w:iCs/>
        </w:rPr>
        <w:t>hidden layer output matrix</w:t>
      </w:r>
      <w:r>
        <w:t xml:space="preserve">. Dalam hal ini, </w:t>
      </w:r>
      <w:r w:rsidRPr="008E13E1">
        <w:rPr>
          <w:i/>
          <w:iCs/>
        </w:rPr>
        <w:t>hidden layer output matrix</w:t>
      </w:r>
      <w:r>
        <w:t xml:space="preserve"> merupakan input yang diterima oleh neuron pada </w:t>
      </w:r>
      <w:r w:rsidRPr="008E13E1">
        <w:rPr>
          <w:i/>
          <w:iCs/>
        </w:rPr>
        <w:t>hidden layer</w:t>
      </w:r>
      <w:r>
        <w:t xml:space="preserve"> </w:t>
      </w:r>
      <w:r w:rsidR="008E13E1">
        <w:t xml:space="preserve">dari </w:t>
      </w:r>
      <w:r w:rsidR="008E13E1" w:rsidRPr="008E13E1">
        <w:rPr>
          <w:i/>
          <w:iCs/>
        </w:rPr>
        <w:t>input layer</w:t>
      </w:r>
      <w:r w:rsidR="008E13E1">
        <w:t>.</w:t>
      </w:r>
    </w:p>
    <w:p w14:paraId="13EA9B78" w14:textId="2A5B1646" w:rsidR="00072567" w:rsidRDefault="00072567" w:rsidP="00072567">
      <w:pPr>
        <w:pStyle w:val="Heading3"/>
      </w:pPr>
      <w:r>
        <w:lastRenderedPageBreak/>
        <w:t>Penghitungan output weight</w:t>
      </w:r>
    </w:p>
    <w:p w14:paraId="76045BDC" w14:textId="081A14CB" w:rsidR="00AA358F" w:rsidRPr="00373F07" w:rsidRDefault="00AA358F" w:rsidP="00AA358F">
      <w:pPr>
        <w:rPr>
          <w:lang w:val="en-US"/>
        </w:rPr>
      </w:pPr>
      <w:bookmarkStart w:id="0" w:name="_GoBack"/>
      <w:bookmarkEnd w:id="0"/>
    </w:p>
    <w:p w14:paraId="27FE912E" w14:textId="3A618C58" w:rsidR="00AA358F" w:rsidRDefault="00831C22" w:rsidP="00BA094B">
      <w:pPr>
        <w:pStyle w:val="Heading2"/>
      </w:pPr>
      <w:r>
        <w:t>Proses t</w:t>
      </w:r>
      <w:r w:rsidR="00AA358F">
        <w:t>esting</w:t>
      </w:r>
    </w:p>
    <w:p w14:paraId="4B51DEC4" w14:textId="77777777" w:rsidR="00BA094B" w:rsidRPr="00BA094B" w:rsidRDefault="00BA094B" w:rsidP="00BA094B"/>
    <w:p w14:paraId="39EFFA9F" w14:textId="11A8EFC3" w:rsidR="00CF41F3" w:rsidRDefault="00997068" w:rsidP="00CF41F3">
      <w:pPr>
        <w:pStyle w:val="Heading1"/>
      </w:pPr>
      <w:r>
        <w:t>Hasil Akhir</w:t>
      </w:r>
    </w:p>
    <w:p w14:paraId="0C7222AD" w14:textId="77777777" w:rsidR="00997068" w:rsidRPr="00997068" w:rsidRDefault="00997068" w:rsidP="00997068"/>
    <w:sectPr w:rsidR="00997068" w:rsidRPr="00997068" w:rsidSect="006F13B4">
      <w:pgSz w:w="11906" w:h="16838"/>
      <w:pgMar w:top="1701" w:right="1418" w:bottom="1418" w:left="2155" w:header="851"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D0FAD" w14:textId="77777777" w:rsidR="00B63E1E" w:rsidRDefault="00B63E1E" w:rsidP="008248CC">
      <w:pPr>
        <w:spacing w:line="240" w:lineRule="auto"/>
      </w:pPr>
      <w:r>
        <w:separator/>
      </w:r>
    </w:p>
  </w:endnote>
  <w:endnote w:type="continuationSeparator" w:id="0">
    <w:p w14:paraId="01348F98" w14:textId="77777777" w:rsidR="00B63E1E" w:rsidRDefault="00B63E1E"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1E3EA" w14:textId="77777777" w:rsidR="00B63E1E" w:rsidRDefault="00B63E1E" w:rsidP="008248CC">
      <w:pPr>
        <w:spacing w:line="240" w:lineRule="auto"/>
      </w:pPr>
      <w:r>
        <w:separator/>
      </w:r>
    </w:p>
  </w:footnote>
  <w:footnote w:type="continuationSeparator" w:id="0">
    <w:p w14:paraId="3CDBD1B2" w14:textId="77777777" w:rsidR="00B63E1E" w:rsidRDefault="00B63E1E"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373F07">
      <w:rPr>
        <w:noProof/>
      </w:rPr>
      <w:t>20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5911"/>
    <w:rsid w:val="00013E51"/>
    <w:rsid w:val="0004120B"/>
    <w:rsid w:val="000416CF"/>
    <w:rsid w:val="00044D27"/>
    <w:rsid w:val="00056CE7"/>
    <w:rsid w:val="00057568"/>
    <w:rsid w:val="0006660D"/>
    <w:rsid w:val="00072567"/>
    <w:rsid w:val="00082F35"/>
    <w:rsid w:val="000A7C41"/>
    <w:rsid w:val="000B48F5"/>
    <w:rsid w:val="000D440C"/>
    <w:rsid w:val="000F5196"/>
    <w:rsid w:val="001031B6"/>
    <w:rsid w:val="0010321E"/>
    <w:rsid w:val="00117C20"/>
    <w:rsid w:val="00121560"/>
    <w:rsid w:val="00125781"/>
    <w:rsid w:val="00134128"/>
    <w:rsid w:val="00134E4A"/>
    <w:rsid w:val="00145529"/>
    <w:rsid w:val="001511C3"/>
    <w:rsid w:val="001533A7"/>
    <w:rsid w:val="00157C6C"/>
    <w:rsid w:val="00176BAB"/>
    <w:rsid w:val="0018043E"/>
    <w:rsid w:val="00185597"/>
    <w:rsid w:val="00186861"/>
    <w:rsid w:val="001A68C0"/>
    <w:rsid w:val="001B21AC"/>
    <w:rsid w:val="001B5FBE"/>
    <w:rsid w:val="001B6DAB"/>
    <w:rsid w:val="001B7A34"/>
    <w:rsid w:val="001C1503"/>
    <w:rsid w:val="001D57B4"/>
    <w:rsid w:val="001D760C"/>
    <w:rsid w:val="001E7CB4"/>
    <w:rsid w:val="00261470"/>
    <w:rsid w:val="00267217"/>
    <w:rsid w:val="002752D4"/>
    <w:rsid w:val="002949F3"/>
    <w:rsid w:val="002A4FD4"/>
    <w:rsid w:val="002B0701"/>
    <w:rsid w:val="002C2981"/>
    <w:rsid w:val="002C6A06"/>
    <w:rsid w:val="002F08E7"/>
    <w:rsid w:val="00327777"/>
    <w:rsid w:val="00351481"/>
    <w:rsid w:val="003645A6"/>
    <w:rsid w:val="00364D3D"/>
    <w:rsid w:val="00373F07"/>
    <w:rsid w:val="003D5623"/>
    <w:rsid w:val="00415904"/>
    <w:rsid w:val="0041672C"/>
    <w:rsid w:val="004224D9"/>
    <w:rsid w:val="0042691C"/>
    <w:rsid w:val="00426B6E"/>
    <w:rsid w:val="00436DC1"/>
    <w:rsid w:val="0044056F"/>
    <w:rsid w:val="004528A0"/>
    <w:rsid w:val="00472FA9"/>
    <w:rsid w:val="004828AF"/>
    <w:rsid w:val="00497105"/>
    <w:rsid w:val="004A30D1"/>
    <w:rsid w:val="004B1932"/>
    <w:rsid w:val="004C5B4E"/>
    <w:rsid w:val="004D4170"/>
    <w:rsid w:val="004D4829"/>
    <w:rsid w:val="004D4F4B"/>
    <w:rsid w:val="004E679D"/>
    <w:rsid w:val="0053348D"/>
    <w:rsid w:val="00542CF6"/>
    <w:rsid w:val="005509DF"/>
    <w:rsid w:val="005A5B7C"/>
    <w:rsid w:val="005D0E23"/>
    <w:rsid w:val="005E2896"/>
    <w:rsid w:val="005E352D"/>
    <w:rsid w:val="00604C8B"/>
    <w:rsid w:val="0061096C"/>
    <w:rsid w:val="00610F58"/>
    <w:rsid w:val="00614FE4"/>
    <w:rsid w:val="00623BDE"/>
    <w:rsid w:val="00676B1F"/>
    <w:rsid w:val="006859D8"/>
    <w:rsid w:val="00691C65"/>
    <w:rsid w:val="006A0A8E"/>
    <w:rsid w:val="006B225C"/>
    <w:rsid w:val="006B242F"/>
    <w:rsid w:val="006B6F04"/>
    <w:rsid w:val="006D2BF2"/>
    <w:rsid w:val="006D688B"/>
    <w:rsid w:val="006D7DD6"/>
    <w:rsid w:val="006E125B"/>
    <w:rsid w:val="006E5D2B"/>
    <w:rsid w:val="006F103B"/>
    <w:rsid w:val="006F13B4"/>
    <w:rsid w:val="007000BD"/>
    <w:rsid w:val="0071433F"/>
    <w:rsid w:val="00717870"/>
    <w:rsid w:val="0072219C"/>
    <w:rsid w:val="007333E0"/>
    <w:rsid w:val="00737EF7"/>
    <w:rsid w:val="007410F4"/>
    <w:rsid w:val="00756353"/>
    <w:rsid w:val="00771940"/>
    <w:rsid w:val="00792C10"/>
    <w:rsid w:val="00796826"/>
    <w:rsid w:val="007C18FC"/>
    <w:rsid w:val="007C4DEF"/>
    <w:rsid w:val="007C5B44"/>
    <w:rsid w:val="007D20A3"/>
    <w:rsid w:val="007E22EA"/>
    <w:rsid w:val="007E3272"/>
    <w:rsid w:val="007F2DFB"/>
    <w:rsid w:val="008248CC"/>
    <w:rsid w:val="00831C22"/>
    <w:rsid w:val="008322FC"/>
    <w:rsid w:val="008366AF"/>
    <w:rsid w:val="00844DFB"/>
    <w:rsid w:val="00847171"/>
    <w:rsid w:val="0086762E"/>
    <w:rsid w:val="00881C12"/>
    <w:rsid w:val="008856EE"/>
    <w:rsid w:val="00891833"/>
    <w:rsid w:val="00893BFC"/>
    <w:rsid w:val="00897AE9"/>
    <w:rsid w:val="008A4B60"/>
    <w:rsid w:val="008A5044"/>
    <w:rsid w:val="008B3F41"/>
    <w:rsid w:val="008C3D3F"/>
    <w:rsid w:val="008D20C5"/>
    <w:rsid w:val="008D631B"/>
    <w:rsid w:val="008E13E1"/>
    <w:rsid w:val="008F3C6C"/>
    <w:rsid w:val="00927047"/>
    <w:rsid w:val="009379EA"/>
    <w:rsid w:val="00946C46"/>
    <w:rsid w:val="00961E11"/>
    <w:rsid w:val="00962219"/>
    <w:rsid w:val="00967647"/>
    <w:rsid w:val="009836AD"/>
    <w:rsid w:val="00986A9C"/>
    <w:rsid w:val="00997068"/>
    <w:rsid w:val="009C14D3"/>
    <w:rsid w:val="009C6380"/>
    <w:rsid w:val="009D74AE"/>
    <w:rsid w:val="009E4C28"/>
    <w:rsid w:val="009F185E"/>
    <w:rsid w:val="00A1145E"/>
    <w:rsid w:val="00A12CEF"/>
    <w:rsid w:val="00A27E2C"/>
    <w:rsid w:val="00A316A3"/>
    <w:rsid w:val="00A352BE"/>
    <w:rsid w:val="00A46535"/>
    <w:rsid w:val="00A81494"/>
    <w:rsid w:val="00A936DD"/>
    <w:rsid w:val="00A93DFA"/>
    <w:rsid w:val="00AA358F"/>
    <w:rsid w:val="00AB44A9"/>
    <w:rsid w:val="00AC2C3F"/>
    <w:rsid w:val="00AE31EE"/>
    <w:rsid w:val="00B0197C"/>
    <w:rsid w:val="00B41BC2"/>
    <w:rsid w:val="00B63E1E"/>
    <w:rsid w:val="00B64F14"/>
    <w:rsid w:val="00B71767"/>
    <w:rsid w:val="00B801AE"/>
    <w:rsid w:val="00B80A96"/>
    <w:rsid w:val="00BA094B"/>
    <w:rsid w:val="00BA7F30"/>
    <w:rsid w:val="00BB013C"/>
    <w:rsid w:val="00BC57C4"/>
    <w:rsid w:val="00BD50AA"/>
    <w:rsid w:val="00C00D63"/>
    <w:rsid w:val="00C064D8"/>
    <w:rsid w:val="00C15486"/>
    <w:rsid w:val="00C156F7"/>
    <w:rsid w:val="00C15E83"/>
    <w:rsid w:val="00C50C5A"/>
    <w:rsid w:val="00C53C47"/>
    <w:rsid w:val="00C56866"/>
    <w:rsid w:val="00C96721"/>
    <w:rsid w:val="00CA21E1"/>
    <w:rsid w:val="00CE1AD2"/>
    <w:rsid w:val="00CF0C60"/>
    <w:rsid w:val="00CF1CFD"/>
    <w:rsid w:val="00CF41F3"/>
    <w:rsid w:val="00D04481"/>
    <w:rsid w:val="00D30328"/>
    <w:rsid w:val="00D90911"/>
    <w:rsid w:val="00DA6A25"/>
    <w:rsid w:val="00DD12BF"/>
    <w:rsid w:val="00DE658F"/>
    <w:rsid w:val="00E04273"/>
    <w:rsid w:val="00E11FFF"/>
    <w:rsid w:val="00E30925"/>
    <w:rsid w:val="00E43589"/>
    <w:rsid w:val="00E764E1"/>
    <w:rsid w:val="00E77259"/>
    <w:rsid w:val="00E8007C"/>
    <w:rsid w:val="00E95751"/>
    <w:rsid w:val="00E96D3F"/>
    <w:rsid w:val="00EB53DD"/>
    <w:rsid w:val="00EC5BB8"/>
    <w:rsid w:val="00ED6827"/>
    <w:rsid w:val="00EE221B"/>
    <w:rsid w:val="00EF7352"/>
    <w:rsid w:val="00F10CE4"/>
    <w:rsid w:val="00F120F1"/>
    <w:rsid w:val="00F14CFD"/>
    <w:rsid w:val="00F23ABA"/>
    <w:rsid w:val="00F62F1E"/>
    <w:rsid w:val="00F8012D"/>
    <w:rsid w:val="00FB4139"/>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TotalTime>
  <Pages>6</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224</cp:revision>
  <cp:lastPrinted>2017-01-25T05:29:00Z</cp:lastPrinted>
  <dcterms:created xsi:type="dcterms:W3CDTF">2016-12-27T11:27:00Z</dcterms:created>
  <dcterms:modified xsi:type="dcterms:W3CDTF">2017-02-23T07:11:00Z</dcterms:modified>
</cp:coreProperties>
</file>