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60" w:lineRule="auto" w:after="480"/>
        <w:jc w:val="center"/>
      </w:pPr>
      <w:r>
        <w:rPr>
          <w:rFonts w:ascii="宋体" w:hAnsi="宋体" w:eastAsia="宋体"/>
          <w:b/>
          <w:i w:val="0"/>
          <w:sz w:val="40"/>
        </w:rPr>
        <w:t>DynaTwin-Swarm：基于动态图结构自适应选择的工业多智能体协同调度系统</w:t>
      </w:r>
    </w:p>
    <w:p>
      <w:pPr>
        <w:spacing w:line="360" w:lineRule="auto" w:after="160"/>
        <w:jc w:val="center"/>
      </w:pPr>
      <w:r>
        <w:rPr>
          <w:rFonts w:ascii="宋体" w:hAnsi="宋体" w:eastAsia="宋体"/>
          <w:b w:val="0"/>
          <w:i w:val="0"/>
          <w:sz w:val="28"/>
        </w:rPr>
        <w:t>版本号：V1.0</w:t>
      </w:r>
    </w:p>
    <w:p>
      <w:pPr>
        <w:spacing w:line="360" w:lineRule="auto" w:after="160"/>
        <w:jc w:val="center"/>
      </w:pPr>
      <w:r>
        <w:rPr>
          <w:rFonts w:ascii="宋体" w:hAnsi="宋体" w:eastAsia="宋体"/>
          <w:b w:val="0"/>
          <w:i w:val="0"/>
          <w:sz w:val="28"/>
        </w:rPr>
        <w:t>日期：2026年6月</w:t>
      </w:r>
    </w:p>
    <w:p>
      <w:pPr>
        <w:spacing w:line="360" w:lineRule="auto" w:after="160"/>
        <w:jc w:val="center"/>
      </w:pPr>
      <w:r>
        <w:rPr>
          <w:rFonts w:ascii="宋体" w:hAnsi="宋体" w:eastAsia="宋体"/>
          <w:b w:val="0"/>
          <w:i w:val="0"/>
          <w:sz w:val="28"/>
        </w:rPr>
        <w:t>作者：王骏</w:t>
      </w:r>
    </w:p>
    <w:p>
      <w:pPr>
        <w:spacing w:line="360" w:lineRule="auto" w:after="160"/>
        <w:jc w:val="center"/>
      </w:pPr>
      <w:r>
        <w:rPr>
          <w:rFonts w:ascii="宋体" w:hAnsi="宋体" w:eastAsia="宋体"/>
          <w:b w:val="0"/>
          <w:i w:val="0"/>
          <w:sz w:val="28"/>
        </w:rPr>
        <w:t>单位：贵州大学网络与信息安全专业</w:t>
      </w:r>
    </w:p>
    <w:p>
      <w:pPr>
        <w:spacing w:line="360" w:lineRule="auto" w:after="160"/>
        <w:jc w:val="center"/>
      </w:pPr>
      <w:r>
        <w:rPr>
          <w:rFonts w:ascii="宋体" w:hAnsi="宋体" w:eastAsia="宋体"/>
          <w:b w:val="0"/>
          <w:i w:val="0"/>
          <w:sz w:val="28"/>
        </w:rPr>
        <w:t>指导教师：谭伟杰</w:t>
      </w:r>
    </w:p>
    <w:p>
      <w:r>
        <w:br w:type="page"/>
      </w:r>
    </w:p>
    <w:p>
      <w:pPr>
        <w:spacing w:line="360" w:lineRule="auto" w:after="160"/>
      </w:pPr>
      <w:r>
        <w:rPr>
          <w:rFonts w:ascii="宋体" w:hAnsi="宋体" w:eastAsia="宋体"/>
          <w:b/>
          <w:i w:val="0"/>
          <w:sz w:val="32"/>
        </w:rPr>
        <w:t>摘要</w:t>
      </w:r>
    </w:p>
    <w:p>
      <w:pPr>
        <w:spacing w:line="360" w:lineRule="auto" w:after="120"/>
      </w:pPr>
      <w:r>
        <w:rPr>
          <w:rFonts w:ascii="宋体" w:hAnsi="宋体" w:eastAsia="宋体"/>
          <w:b w:val="0"/>
          <w:i w:val="0"/>
          <w:sz w:val="24"/>
        </w:rPr>
        <w:t>针对工业制造场景中生产调度系统存在的动态响应迟滞、人工依赖程度高、复杂扰动处理能力不足等核心问题，本文提出并实现了DynaTwin-Swarm——一种基于动态图结构自适应选择与目标状态反射推理的工业多智能体协同调度系统。系统融合EMNLP 2025顶级会议论文DynaSwarm与ReflAct的核心方法论，构建了包含11个专业智能体的分层协作决策框架，并以豆包大模型作为推理引擎，结合CP-SAT约束规划求解器实现毫秒级排程计算。实验表明，系统在JSPLib FT06标准基准上的Makespan与已知最优解差距为21.8%，在Lawrence LA40基准上差距为7.0%，求解时间均在200ms以内，验证了系统在动态工业环境中的实时调度能力与工程可行性。研究结果表明，动态图结构选择与可解释推理机制能够有效提升工业调度系统在突发扰动下的自适应决策能力，为贵州磷化工、非煤矿山和智能制造场景提供具有工程推广价值的技术路径。</w:t>
      </w:r>
    </w:p>
    <w:p>
      <w:pPr>
        <w:spacing w:line="360" w:lineRule="auto" w:after="160"/>
      </w:pPr>
      <w:r>
        <w:rPr>
          <w:rFonts w:ascii="宋体" w:hAnsi="宋体" w:eastAsia="宋体"/>
          <w:b/>
          <w:i w:val="0"/>
          <w:sz w:val="32"/>
        </w:rPr>
        <w:t>第一章 引言</w:t>
      </w:r>
    </w:p>
    <w:p>
      <w:pPr>
        <w:spacing w:line="360" w:lineRule="auto" w:after="120"/>
      </w:pPr>
      <w:r>
        <w:rPr>
          <w:rFonts w:ascii="宋体" w:hAnsi="宋体" w:eastAsia="宋体"/>
          <w:b w:val="0"/>
          <w:i w:val="0"/>
          <w:sz w:val="24"/>
        </w:rPr>
        <w:t>传统工厂生产调度面临多维度的动态扰动问题，设备故障、紧急订单插入、物料短缺和工序切换等不确定因素会导致既有排程方案频繁失效。由于生产现场通常具有多设备、多工序、多资源约束的复杂特征，人工重排不仅响应周期长，而且高度依赖调度人员的经验判断，难以形成可沉淀、可复用、可迁移的知识体系。这一问题严重制约了制造企业的柔性生产能力。以贵州磷化工行业为例，该行业年产值超800亿元，但智能调度渗透率不足5%，在产业升级、降本增效和安全生产方面存在迫切需求。</w:t>
      </w:r>
    </w:p>
    <w:p>
      <w:pPr>
        <w:spacing w:line="360" w:lineRule="auto" w:after="120"/>
      </w:pPr>
      <w:r>
        <w:rPr>
          <w:rFonts w:ascii="宋体" w:hAnsi="宋体" w:eastAsia="宋体"/>
          <w:b w:val="0"/>
          <w:i w:val="0"/>
          <w:sz w:val="24"/>
        </w:rPr>
        <w:t>现有工业调度系统普遍采用固定规则引擎或单一优化算法，虽然能够在静态约束下获得一定效果，但缺乏对动态扰动的实时感知与自适应调整能力。当设备状态、订单优先级或资源可用性发生变化时，传统系统往往需要重新配置规则或人工介入，难以在多约束条件下兼顾全局优化、安全约束与解释性需求。与此同时，单一大语言模型直接参与工业决策又可能产生幻觉和不可审计问题，无法满足工业现场对可靠性和合规性的要求。</w:t>
      </w:r>
    </w:p>
    <w:p>
      <w:pPr>
        <w:spacing w:line="360" w:lineRule="auto" w:after="120"/>
      </w:pPr>
      <w:r>
        <w:rPr>
          <w:rFonts w:ascii="宋体" w:hAnsi="宋体" w:eastAsia="宋体"/>
          <w:b w:val="0"/>
          <w:i w:val="0"/>
          <w:sz w:val="24"/>
        </w:rPr>
        <w:t>DynaTwin-Swarm提出动态拓扑自适应选择机制与ReflAct推理框架的协同应用，在工业调度场景中实现多智能体动态协作与可解释决策的有机结合。系统以数字孪生工厂状态为基础，通过11个专业智能体对设备、订单、资源、风险和排程约束进行分工推理，并由CP-SAT求解器生成可执行排程方案。该系统为智能制造领域提供了一种兼具实时响应、可解释性和工程可落地性的新技术范式。</w:t>
      </w:r>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01_dashboard_normal.png"/>
                    <pic:cNvPicPr/>
                  </pic:nvPicPr>
                  <pic:blipFill>
                    <a:blip r:embed="rId11"/>
                    <a:stretch>
                      <a:fillRect/>
                    </a:stretch>
                  </pic:blipFill>
                  <pic:spPr>
                    <a:xfrm>
                      <a:off x="0" y="0"/>
                      <a:ext cx="5040000" cy="2835000"/>
                    </a:xfrm>
                    <a:prstGeom prst="rect"/>
                  </pic:spPr>
                </pic:pic>
              </a:graphicData>
            </a:graphic>
          </wp:inline>
        </w:drawing>
      </w:r>
    </w:p>
    <w:p>
      <w:pPr>
        <w:spacing w:line="360" w:lineRule="auto" w:after="200"/>
        <w:jc w:val="center"/>
      </w:pPr>
      <w:r>
        <w:rPr>
          <w:rFonts w:ascii="宋体" w:hAnsi="宋体" w:eastAsia="宋体"/>
          <w:b w:val="0"/>
          <w:i/>
          <w:sz w:val="20"/>
        </w:rPr>
        <w:t>图1-1 DynaTwin-Swarm系统总览界面（LA40基准数据集，15台机器，15个订单）</w:t>
      </w:r>
    </w:p>
    <w:p>
      <w:pPr>
        <w:spacing w:line="360" w:lineRule="auto" w:after="160"/>
      </w:pPr>
      <w:r>
        <w:rPr>
          <w:rFonts w:ascii="宋体" w:hAnsi="宋体" w:eastAsia="宋体"/>
          <w:b/>
          <w:i w:val="0"/>
          <w:sz w:val="32"/>
        </w:rPr>
        <w:t>第二章 系统架构</w:t>
      </w:r>
    </w:p>
    <w:p>
      <w:pPr>
        <w:spacing w:line="360" w:lineRule="auto" w:after="160"/>
      </w:pPr>
      <w:r>
        <w:rPr>
          <w:rFonts w:ascii="宋体" w:hAnsi="宋体" w:eastAsia="宋体"/>
          <w:b/>
          <w:i w:val="0"/>
          <w:sz w:val="28"/>
        </w:rPr>
        <w:t>2.1 总体架构</w:t>
      </w:r>
    </w:p>
    <w:p>
      <w:pPr>
        <w:spacing w:line="360" w:lineRule="auto" w:after="120"/>
      </w:pPr>
      <w:r>
        <w:rPr>
          <w:rFonts w:ascii="宋体" w:hAnsi="宋体" w:eastAsia="宋体"/>
          <w:b w:val="0"/>
          <w:i w:val="0"/>
          <w:sz w:val="24"/>
        </w:rPr>
        <w:t>DynaTwin-Swarm采用感知层、决策层与执行层相互衔接的三层架构设计。感知层通过IoT传感器适配器和数字孪生工厂模拟器实现工厂状态的实时采集与建模，状态对象覆盖机器可用性、温度、效率、当前工单、订单优先级、物料库存、告警事件和恢复计划等关键生产要素。该层的核心职责是将真实或模拟工业现场转化为统一的结构化FactoryState，为上层智能体推理提供可信输入。</w:t>
      </w:r>
    </w:p>
    <w:p>
      <w:pPr>
        <w:spacing w:line="360" w:lineRule="auto" w:after="120"/>
      </w:pPr>
      <w:r>
        <w:rPr>
          <w:rFonts w:ascii="宋体" w:hAnsi="宋体" w:eastAsia="宋体"/>
          <w:b w:val="0"/>
          <w:i w:val="0"/>
          <w:sz w:val="24"/>
        </w:rPr>
        <w:t>决策层由11个专业智能体构成分层协作网络，基于动态拓扑选择机制驱动跨智能体的协同推理。不同风险等级和任务复杂度会触发不同的智能体协作结构，例如常规任务可使用轻量串行链，而设备故障、紧急插单和高风险告警则会切换至高风险审查拓扑。执行层集成CP-SAT约束规划求解器，将智能体决策转化为可执行的优化排程方案，并通过甘特图、事件流和日志面板向用户呈现调度结果。</w:t>
      </w:r>
    </w:p>
    <w:p>
      <w:pPr>
        <w:spacing w:line="360" w:lineRule="auto" w:after="160"/>
      </w:pPr>
      <w:r>
        <w:rPr>
          <w:rFonts w:ascii="宋体" w:hAnsi="宋体" w:eastAsia="宋体"/>
          <w:b/>
          <w:i w:val="0"/>
          <w:sz w:val="28"/>
        </w:rPr>
        <w:t>2.2 智能体协作框架</w:t>
      </w:r>
    </w:p>
    <w:p>
      <w:pPr>
        <w:spacing w:line="360" w:lineRule="auto" w:after="120"/>
      </w:pPr>
      <w:r>
        <w:rPr>
          <w:rFonts w:ascii="宋体" w:hAnsi="宋体" w:eastAsia="宋体"/>
          <w:b w:val="0"/>
          <w:i w:val="0"/>
          <w:sz w:val="24"/>
        </w:rPr>
        <w:t>智能体协作框架以专业分工为基础，形成从任务识别到结果报告的闭环推理链。任务路由智能体负责感知工厂状态并选择协作拓扑；设备监控智能体实时扫描机器状态并标记故障设备；故障诊断智能体评估故障影响范围并重构候选资源池；订单分析智能体量化订单优先级与截止压力；资源分配智能体解决多维资源冲突；调度求解智能体调用CP-SAT求解器输出最优排程；约束验证智能体执行硬性约束合规检查；风险评估智能体综合评估方案安全等级；决策审核智能体执行一致性校验；报告生成智能体汇总输出完整调度报告。上述角色共同构成可扩展、可审计的工业多智能体协同决策体系。</w:t>
      </w:r>
    </w:p>
    <w:p>
      <w:pPr>
        <w:jc w:val="center"/>
      </w:pPr>
      <w:r>
        <w:drawing>
          <wp:inline xmlns:a="http://schemas.openxmlformats.org/drawingml/2006/main" xmlns:pic="http://schemas.openxmlformats.org/drawingml/2006/picture">
            <wp:extent cx="5040000" cy="4372048"/>
            <wp:docPr id="2" name="Picture 2"/>
            <wp:cNvGraphicFramePr>
              <a:graphicFrameLocks noChangeAspect="1"/>
            </wp:cNvGraphicFramePr>
            <a:graphic>
              <a:graphicData uri="http://schemas.openxmlformats.org/drawingml/2006/picture">
                <pic:pic>
                  <pic:nvPicPr>
                    <pic:cNvPr id="0" name="02_topology_graph.png"/>
                    <pic:cNvPicPr/>
                  </pic:nvPicPr>
                  <pic:blipFill>
                    <a:blip r:embed="rId12"/>
                    <a:stretch>
                      <a:fillRect/>
                    </a:stretch>
                  </pic:blipFill>
                  <pic:spPr>
                    <a:xfrm>
                      <a:off x="0" y="0"/>
                      <a:ext cx="5040000" cy="4372048"/>
                    </a:xfrm>
                    <a:prstGeom prst="rect"/>
                  </pic:spPr>
                </pic:pic>
              </a:graphicData>
            </a:graphic>
          </wp:inline>
        </w:drawing>
      </w:r>
    </w:p>
    <w:p>
      <w:pPr>
        <w:spacing w:line="360" w:lineRule="auto" w:after="200"/>
        <w:jc w:val="center"/>
      </w:pPr>
      <w:r>
        <w:rPr>
          <w:rFonts w:ascii="宋体" w:hAnsi="宋体" w:eastAsia="宋体"/>
          <w:b w:val="0"/>
          <w:i/>
          <w:sz w:val="20"/>
        </w:rPr>
        <w:t>图2-1 动态Agent协作拓扑图（高风险审查模式，11个智能体全激活）</w:t>
      </w:r>
    </w:p>
    <w:p>
      <w:pPr>
        <w:spacing w:line="360" w:lineRule="auto" w:after="160"/>
      </w:pPr>
      <w:r>
        <w:rPr>
          <w:rFonts w:ascii="宋体" w:hAnsi="宋体" w:eastAsia="宋体"/>
          <w:b/>
          <w:i w:val="0"/>
          <w:sz w:val="32"/>
        </w:rPr>
        <w:t>第三章 核心技术</w:t>
      </w:r>
    </w:p>
    <w:p>
      <w:pPr>
        <w:spacing w:line="360" w:lineRule="auto" w:after="160"/>
      </w:pPr>
      <w:r>
        <w:rPr>
          <w:rFonts w:ascii="宋体" w:hAnsi="宋体" w:eastAsia="宋体"/>
          <w:b/>
          <w:i w:val="0"/>
          <w:sz w:val="28"/>
        </w:rPr>
        <w:t>3.1 动态图结构自适应选择机制</w:t>
      </w:r>
    </w:p>
    <w:p>
      <w:pPr>
        <w:spacing w:line="360" w:lineRule="auto" w:after="120"/>
      </w:pPr>
      <w:r>
        <w:rPr>
          <w:rFonts w:ascii="宋体" w:hAnsi="宋体" w:eastAsia="宋体"/>
          <w:b w:val="0"/>
          <w:i w:val="0"/>
          <w:sz w:val="24"/>
        </w:rPr>
        <w:t>DynaSwarm方法在本系统中的工程化实现体现为面向任务状态的动态拓扑选择机制。系统预定义五种协作拓扑结构：串行链适用于低复杂度常规调度，由4个智能体顺序执行；并行汇聚适用于中等复杂度场景，由7个智能体并行分析后汇聚决策；层级树适用于多层级任务分解，由8个智能体分层协调；全连接适用于高复杂度排程，由10个智能体充分交互；高风险审查适用于故障或紧急场景，由11个智能体全激活并引入多层审核机制。</w:t>
      </w:r>
    </w:p>
    <w:p>
      <w:pPr>
        <w:spacing w:line="360" w:lineRule="auto" w:after="120"/>
      </w:pPr>
      <w:r>
        <w:rPr>
          <w:rFonts w:ascii="宋体" w:hAnsi="宋体" w:eastAsia="宋体"/>
          <w:b w:val="0"/>
          <w:i w:val="0"/>
          <w:sz w:val="24"/>
        </w:rPr>
        <w:t>基于A2C（Actor-Critic）强化学习算法，系统通过历史调度奖励信号持续训练图选择器，使拓扑选择策略随使用积累不断优化。奖励信号综合考虑排程完工时间、风险等级、约束违反情况和调度稳定性，从而使系统能够在不同生产状态下学习更合理的协作结构，实现结构与任务的自适应匹配。</w:t>
      </w:r>
    </w:p>
    <w:p>
      <w:pPr>
        <w:spacing w:line="360" w:lineRule="auto" w:after="160"/>
      </w:pPr>
      <w:r>
        <w:rPr>
          <w:rFonts w:ascii="宋体" w:hAnsi="宋体" w:eastAsia="宋体"/>
          <w:b/>
          <w:i w:val="0"/>
          <w:sz w:val="28"/>
        </w:rPr>
        <w:t>3.2 ReflAct目标状态反射推理框架</w:t>
      </w:r>
    </w:p>
    <w:p>
      <w:pPr>
        <w:spacing w:line="360" w:lineRule="auto" w:after="120"/>
      </w:pPr>
      <w:r>
        <w:rPr>
          <w:rFonts w:ascii="宋体" w:hAnsi="宋体" w:eastAsia="宋体"/>
          <w:b w:val="0"/>
          <w:i w:val="0"/>
          <w:sz w:val="24"/>
        </w:rPr>
        <w:t>ReflAct目标状态反射推理框架要求每个智能体按照观察、目标、偏差和动作四个步骤形成可审计的决策轨迹。智能体首先观察当前工厂状态，获取机器可用性、订单优先级、库存水位和告警数量等多维信息；其次将观察结果与既定生产目标进行对齐，识别当前状态与理想目标之间的偏差；继而基于偏差分析评估风险等级和影响范围；最终输出具体建议动作，为后续拓扑选择和CP-SAT排程提供结构化依据。该框架有效抑制了大语言模型在工业调度场景中的幻觉现象，提升了决策的可解释性与可靠性。</w:t>
      </w:r>
    </w:p>
    <w:p>
      <w:pPr>
        <w:spacing w:line="360" w:lineRule="auto" w:after="160"/>
      </w:pPr>
      <w:r>
        <w:rPr>
          <w:rFonts w:ascii="宋体" w:hAnsi="宋体" w:eastAsia="宋体"/>
          <w:b/>
          <w:i w:val="0"/>
          <w:sz w:val="28"/>
        </w:rPr>
        <w:t>3.3 华为昇腾技术集成</w:t>
      </w:r>
    </w:p>
    <w:p>
      <w:pPr>
        <w:spacing w:line="360" w:lineRule="auto" w:after="120"/>
      </w:pPr>
      <w:r>
        <w:rPr>
          <w:rFonts w:ascii="宋体" w:hAnsi="宋体" w:eastAsia="宋体"/>
          <w:b w:val="0"/>
          <w:i w:val="0"/>
          <w:sz w:val="24"/>
        </w:rPr>
        <w:t>系统与华为全栈AI技术体系保持适配设计：以华为盘古大模型作为备用推理引擎，通过MindIE推理引擎实现NPU加速，GaussDB承载历史调度知识库，IoTDA实现工厂传感器数据实时接入，EventGrid驱动事件触发式调度响应，FunctionGraph提供弹性计算能力，ModelArts Studio负责模型训练与部署管理。系统可部署于华为云西南-贵阳一区域，充分发挥昇腾算力在本地工业智能化场景中的价值。</w:t>
      </w:r>
    </w:p>
    <w:p>
      <w:pPr>
        <w:spacing w:line="360" w:lineRule="auto" w:after="160"/>
      </w:pPr>
      <w:r>
        <w:rPr>
          <w:rFonts w:ascii="宋体" w:hAnsi="宋体" w:eastAsia="宋体"/>
          <w:b/>
          <w:i w:val="0"/>
          <w:sz w:val="32"/>
        </w:rPr>
        <w:t>第四章 功能演示与验证</w:t>
      </w:r>
    </w:p>
    <w:p>
      <w:pPr>
        <w:spacing w:line="360" w:lineRule="auto" w:after="160"/>
      </w:pPr>
      <w:r>
        <w:rPr>
          <w:rFonts w:ascii="宋体" w:hAnsi="宋体" w:eastAsia="宋体"/>
          <w:b/>
          <w:i w:val="0"/>
          <w:sz w:val="28"/>
        </w:rPr>
        <w:t>4.1 动态排程演示</w:t>
      </w:r>
    </w:p>
    <w:p>
      <w:pPr>
        <w:spacing w:line="360" w:lineRule="auto" w:after="120"/>
      </w:pPr>
      <w:r>
        <w:rPr>
          <w:rFonts w:ascii="宋体" w:hAnsi="宋体" w:eastAsia="宋体"/>
          <w:b w:val="0"/>
          <w:i w:val="0"/>
          <w:sz w:val="24"/>
        </w:rPr>
        <w:t>在正常排产场景下，系统首先读取数字孪生工厂状态，识别订单队列、机器可用性、工艺能力和资源约束，然后通过智能体协作链路生成调度策略，并调用CP-SAT求解器输出排程结果。前端大屏同步展示设备状态、订单队列、AI推理日志、甘特图和基准测试结果，使用户能够在一个界面中掌握工厂运行全局。</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03_before_failure.png"/>
                    <pic:cNvPicPr/>
                  </pic:nvPicPr>
                  <pic:blipFill>
                    <a:blip r:embed="rId13"/>
                    <a:stretch>
                      <a:fillRect/>
                    </a:stretch>
                  </pic:blipFill>
                  <pic:spPr>
                    <a:xfrm>
                      <a:off x="0" y="0"/>
                      <a:ext cx="5040000" cy="2835000"/>
                    </a:xfrm>
                    <a:prstGeom prst="rect"/>
                  </pic:spPr>
                </pic:pic>
              </a:graphicData>
            </a:graphic>
          </wp:inline>
        </w:drawing>
      </w:r>
    </w:p>
    <w:p>
      <w:pPr>
        <w:spacing w:line="360" w:lineRule="auto" w:after="200"/>
        <w:jc w:val="center"/>
      </w:pPr>
      <w:r>
        <w:rPr>
          <w:rFonts w:ascii="宋体" w:hAnsi="宋体" w:eastAsia="宋体"/>
          <w:b w:val="0"/>
          <w:i/>
          <w:sz w:val="20"/>
        </w:rPr>
        <w:t>图4-1 正常排产状态（所有机器可用，OEE≥90%）</w:t>
      </w:r>
    </w:p>
    <w:p>
      <w:pPr>
        <w:spacing w:line="360" w:lineRule="auto" w:after="160"/>
      </w:pPr>
      <w:r>
        <w:rPr>
          <w:rFonts w:ascii="宋体" w:hAnsi="宋体" w:eastAsia="宋体"/>
          <w:b/>
          <w:i w:val="0"/>
          <w:sz w:val="28"/>
        </w:rPr>
        <w:t>4.2 故障自动重排</w:t>
      </w:r>
    </w:p>
    <w:p>
      <w:pPr>
        <w:spacing w:line="360" w:lineRule="auto" w:after="120"/>
      </w:pPr>
      <w:r>
        <w:rPr>
          <w:rFonts w:ascii="宋体" w:hAnsi="宋体" w:eastAsia="宋体"/>
          <w:b w:val="0"/>
          <w:i w:val="0"/>
          <w:sz w:val="24"/>
        </w:rPr>
        <w:t>当设备故障触发后，系统会在秒级完成故障感知、拓扑切换、多智能体协同分析、CP-SAT重算排程和甘特图更新。故障机器被自动隔离，未完成工序被标记为需要重新分配，调度求解器在新的资源约束下重新生成可执行计划，全流程在3秒内完成并同步呈现在大屏界面中。</w:t>
      </w: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04_after_failure.png"/>
                    <pic:cNvPicPr/>
                  </pic:nvPicPr>
                  <pic:blipFill>
                    <a:blip r:embed="rId14"/>
                    <a:stretch>
                      <a:fillRect/>
                    </a:stretch>
                  </pic:blipFill>
                  <pic:spPr>
                    <a:xfrm>
                      <a:off x="0" y="0"/>
                      <a:ext cx="5040000" cy="2835000"/>
                    </a:xfrm>
                    <a:prstGeom prst="rect"/>
                  </pic:spPr>
                </pic:pic>
              </a:graphicData>
            </a:graphic>
          </wp:inline>
        </w:drawing>
      </w:r>
    </w:p>
    <w:p>
      <w:pPr>
        <w:spacing w:line="360" w:lineRule="auto" w:after="200"/>
        <w:jc w:val="center"/>
      </w:pPr>
      <w:r>
        <w:rPr>
          <w:rFonts w:ascii="宋体" w:hAnsi="宋体" w:eastAsia="宋体"/>
          <w:b w:val="0"/>
          <w:i/>
          <w:sz w:val="20"/>
        </w:rPr>
        <w:t>图4-2 设备故障后系统自动切换高风险审查拓扑，AI推理日志实时展示决策过程</w:t>
      </w:r>
    </w:p>
    <w:p>
      <w:pPr>
        <w:spacing w:line="360" w:lineRule="auto" w:after="160"/>
      </w:pPr>
      <w:r>
        <w:rPr>
          <w:rFonts w:ascii="宋体" w:hAnsi="宋体" w:eastAsia="宋体"/>
          <w:b/>
          <w:i w:val="0"/>
          <w:sz w:val="28"/>
        </w:rPr>
        <w:t>4.3 机器自动恢复</w:t>
      </w:r>
    </w:p>
    <w:p>
      <w:pPr>
        <w:spacing w:line="360" w:lineRule="auto" w:after="120"/>
      </w:pPr>
      <w:r>
        <w:rPr>
          <w:rFonts w:ascii="宋体" w:hAnsi="宋体" w:eastAsia="宋体"/>
          <w:b w:val="0"/>
          <w:i w:val="0"/>
          <w:sz w:val="24"/>
        </w:rPr>
        <w:t>系统为故障机器设置30至120分钟的自动恢复时间窗口。恢复事件到达后，机器状态从故障恢复为可用，系统自动将其重新纳入资源池，并触发新一轮智能体分析与排程优化。该机制使故障隔离与资源恢复均可被调度系统实时感知，从而保证排程结果随工厂状态变化持续更新。</w:t>
      </w:r>
    </w:p>
    <w:p>
      <w:pPr>
        <w:jc w:val="center"/>
      </w:pPr>
      <w:r>
        <w:drawing>
          <wp:inline xmlns:a="http://schemas.openxmlformats.org/drawingml/2006/main" xmlns:pic="http://schemas.openxmlformats.org/drawingml/2006/picture">
            <wp:extent cx="5040000" cy="3264987"/>
            <wp:docPr id="5" name="Picture 5"/>
            <wp:cNvGraphicFramePr>
              <a:graphicFrameLocks noChangeAspect="1"/>
            </wp:cNvGraphicFramePr>
            <a:graphic>
              <a:graphicData uri="http://schemas.openxmlformats.org/drawingml/2006/picture">
                <pic:pic>
                  <pic:nvPicPr>
                    <pic:cNvPr id="0" name="05_recovery_countdown.png"/>
                    <pic:cNvPicPr/>
                  </pic:nvPicPr>
                  <pic:blipFill>
                    <a:blip r:embed="rId15"/>
                    <a:stretch>
                      <a:fillRect/>
                    </a:stretch>
                  </pic:blipFill>
                  <pic:spPr>
                    <a:xfrm>
                      <a:off x="0" y="0"/>
                      <a:ext cx="5040000" cy="3264987"/>
                    </a:xfrm>
                    <a:prstGeom prst="rect"/>
                  </pic:spPr>
                </pic:pic>
              </a:graphicData>
            </a:graphic>
          </wp:inline>
        </w:drawing>
      </w:r>
    </w:p>
    <w:p>
      <w:pPr>
        <w:spacing w:line="360" w:lineRule="auto" w:after="200"/>
        <w:jc w:val="center"/>
      </w:pPr>
      <w:r>
        <w:rPr>
          <w:rFonts w:ascii="宋体" w:hAnsi="宋体" w:eastAsia="宋体"/>
          <w:b w:val="0"/>
          <w:i/>
          <w:sz w:val="20"/>
        </w:rPr>
        <w:t>图4-3 机器倒计时自动恢复机制</w:t>
      </w:r>
    </w:p>
    <w:p>
      <w:pPr>
        <w:spacing w:line="360" w:lineRule="auto" w:after="160"/>
      </w:pPr>
      <w:r>
        <w:rPr>
          <w:rFonts w:ascii="宋体" w:hAnsi="宋体" w:eastAsia="宋体"/>
          <w:b/>
          <w:i w:val="0"/>
          <w:sz w:val="28"/>
        </w:rPr>
        <w:t>4.4 基准测试验证</w:t>
      </w:r>
    </w:p>
    <w:p>
      <w:pPr>
        <w:spacing w:line="360" w:lineRule="auto" w:after="120"/>
      </w:pPr>
      <w:r>
        <w:rPr>
          <w:rFonts w:ascii="宋体" w:hAnsi="宋体" w:eastAsia="宋体"/>
          <w:b w:val="0"/>
          <w:i w:val="0"/>
          <w:sz w:val="24"/>
        </w:rPr>
        <w:t>为验证系统在不同规模Job Shop Scheduling问题上的工程可行性，本文选取FT06、LA40、ABZ9、SWV20和DMU80五个公开标准数据集进行测试。实验结果表明，系统在小规模和中等规模任务上能够在200ms以内完成调度求解，并在LA40基准上取得与已知最优解差距7.0%的结果。</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line="288" w:lineRule="auto" w:after="0"/>
              <w:jc w:val="center"/>
            </w:pPr>
            <w:r>
              <w:rPr>
                <w:rFonts w:ascii="宋体" w:hAnsi="宋体" w:eastAsia="宋体"/>
                <w:b w:val="0"/>
                <w:i w:val="0"/>
                <w:sz w:val="20"/>
              </w:rPr>
              <w:t>数据集</w:t>
            </w:r>
          </w:p>
        </w:tc>
        <w:tc>
          <w:tcPr>
            <w:tcW w:type="dxa" w:w="1385"/>
          </w:tcPr>
          <w:p>
            <w:pPr>
              <w:spacing w:line="288" w:lineRule="auto" w:after="0"/>
              <w:jc w:val="center"/>
            </w:pPr>
            <w:r>
              <w:rPr>
                <w:rFonts w:ascii="宋体" w:hAnsi="宋体" w:eastAsia="宋体"/>
                <w:b w:val="0"/>
                <w:i w:val="0"/>
                <w:sz w:val="20"/>
              </w:rPr>
              <w:t>作业数</w:t>
            </w:r>
          </w:p>
        </w:tc>
        <w:tc>
          <w:tcPr>
            <w:tcW w:type="dxa" w:w="1385"/>
          </w:tcPr>
          <w:p>
            <w:pPr>
              <w:spacing w:line="288" w:lineRule="auto" w:after="0"/>
              <w:jc w:val="center"/>
            </w:pPr>
            <w:r>
              <w:rPr>
                <w:rFonts w:ascii="宋体" w:hAnsi="宋体" w:eastAsia="宋体"/>
                <w:b w:val="0"/>
                <w:i w:val="0"/>
                <w:sz w:val="20"/>
              </w:rPr>
              <w:t>机器数</w:t>
            </w:r>
          </w:p>
        </w:tc>
        <w:tc>
          <w:tcPr>
            <w:tcW w:type="dxa" w:w="1385"/>
          </w:tcPr>
          <w:p>
            <w:pPr>
              <w:spacing w:line="288" w:lineRule="auto" w:after="0"/>
              <w:jc w:val="center"/>
            </w:pPr>
            <w:r>
              <w:rPr>
                <w:rFonts w:ascii="宋体" w:hAnsi="宋体" w:eastAsia="宋体"/>
                <w:b w:val="0"/>
                <w:i w:val="0"/>
                <w:sz w:val="20"/>
              </w:rPr>
              <w:t>本系统Makespan</w:t>
            </w:r>
          </w:p>
        </w:tc>
        <w:tc>
          <w:tcPr>
            <w:tcW w:type="dxa" w:w="1385"/>
          </w:tcPr>
          <w:p>
            <w:pPr>
              <w:spacing w:line="288" w:lineRule="auto" w:after="0"/>
              <w:jc w:val="center"/>
            </w:pPr>
            <w:r>
              <w:rPr>
                <w:rFonts w:ascii="宋体" w:hAnsi="宋体" w:eastAsia="宋体"/>
                <w:b w:val="0"/>
                <w:i w:val="0"/>
                <w:sz w:val="20"/>
              </w:rPr>
              <w:t>最优已知值</w:t>
            </w:r>
          </w:p>
        </w:tc>
        <w:tc>
          <w:tcPr>
            <w:tcW w:type="dxa" w:w="1385"/>
          </w:tcPr>
          <w:p>
            <w:pPr>
              <w:spacing w:line="288" w:lineRule="auto" w:after="0"/>
              <w:jc w:val="center"/>
            </w:pPr>
            <w:r>
              <w:rPr>
                <w:rFonts w:ascii="宋体" w:hAnsi="宋体" w:eastAsia="宋体"/>
                <w:b w:val="0"/>
                <w:i w:val="0"/>
                <w:sz w:val="20"/>
              </w:rPr>
              <w:t>差距%</w:t>
            </w:r>
          </w:p>
        </w:tc>
      </w:tr>
      <w:tr>
        <w:tc>
          <w:tcPr>
            <w:tcW w:type="dxa" w:w="1385"/>
          </w:tcPr>
          <w:p>
            <w:pPr>
              <w:spacing w:line="288" w:lineRule="auto" w:after="0"/>
              <w:jc w:val="center"/>
            </w:pPr>
            <w:r>
              <w:rPr>
                <w:rFonts w:ascii="宋体" w:hAnsi="宋体" w:eastAsia="宋体"/>
                <w:b w:val="0"/>
                <w:i w:val="0"/>
                <w:sz w:val="20"/>
              </w:rPr>
              <w:t>FT06</w:t>
            </w:r>
          </w:p>
        </w:tc>
        <w:tc>
          <w:tcPr>
            <w:tcW w:type="dxa" w:w="1385"/>
          </w:tcPr>
          <w:p>
            <w:pPr>
              <w:spacing w:line="288" w:lineRule="auto" w:after="0"/>
              <w:jc w:val="center"/>
            </w:pPr>
            <w:r>
              <w:rPr>
                <w:rFonts w:ascii="宋体" w:hAnsi="宋体" w:eastAsia="宋体"/>
                <w:b w:val="0"/>
                <w:i w:val="0"/>
                <w:sz w:val="20"/>
              </w:rPr>
              <w:t>6</w:t>
            </w:r>
          </w:p>
        </w:tc>
        <w:tc>
          <w:tcPr>
            <w:tcW w:type="dxa" w:w="1385"/>
          </w:tcPr>
          <w:p>
            <w:pPr>
              <w:spacing w:line="288" w:lineRule="auto" w:after="0"/>
              <w:jc w:val="center"/>
            </w:pPr>
            <w:r>
              <w:rPr>
                <w:rFonts w:ascii="宋体" w:hAnsi="宋体" w:eastAsia="宋体"/>
                <w:b w:val="0"/>
                <w:i w:val="0"/>
                <w:sz w:val="20"/>
              </w:rPr>
              <w:t>6</w:t>
            </w:r>
          </w:p>
        </w:tc>
        <w:tc>
          <w:tcPr>
            <w:tcW w:type="dxa" w:w="1385"/>
          </w:tcPr>
          <w:p>
            <w:pPr>
              <w:spacing w:line="288" w:lineRule="auto" w:after="0"/>
              <w:jc w:val="center"/>
            </w:pPr>
            <w:r>
              <w:rPr>
                <w:rFonts w:ascii="宋体" w:hAnsi="宋体" w:eastAsia="宋体"/>
                <w:b w:val="0"/>
                <w:i w:val="0"/>
                <w:sz w:val="20"/>
              </w:rPr>
              <w:t>67</w:t>
            </w:r>
          </w:p>
        </w:tc>
        <w:tc>
          <w:tcPr>
            <w:tcW w:type="dxa" w:w="1385"/>
          </w:tcPr>
          <w:p>
            <w:pPr>
              <w:spacing w:line="288" w:lineRule="auto" w:after="0"/>
              <w:jc w:val="center"/>
            </w:pPr>
            <w:r>
              <w:rPr>
                <w:rFonts w:ascii="宋体" w:hAnsi="宋体" w:eastAsia="宋体"/>
                <w:b w:val="0"/>
                <w:i w:val="0"/>
                <w:sz w:val="20"/>
              </w:rPr>
              <w:t>55</w:t>
            </w:r>
          </w:p>
        </w:tc>
        <w:tc>
          <w:tcPr>
            <w:tcW w:type="dxa" w:w="1385"/>
          </w:tcPr>
          <w:p>
            <w:pPr>
              <w:spacing w:line="288" w:lineRule="auto" w:after="0"/>
              <w:jc w:val="center"/>
            </w:pPr>
            <w:r>
              <w:rPr>
                <w:rFonts w:ascii="宋体" w:hAnsi="宋体" w:eastAsia="宋体"/>
                <w:b w:val="0"/>
                <w:i w:val="0"/>
                <w:sz w:val="20"/>
              </w:rPr>
              <w:t>21.8%</w:t>
            </w:r>
          </w:p>
        </w:tc>
      </w:tr>
      <w:tr>
        <w:tc>
          <w:tcPr>
            <w:tcW w:type="dxa" w:w="1385"/>
          </w:tcPr>
          <w:p>
            <w:pPr>
              <w:spacing w:line="288" w:lineRule="auto" w:after="0"/>
              <w:jc w:val="center"/>
            </w:pPr>
            <w:r>
              <w:rPr>
                <w:rFonts w:ascii="宋体" w:hAnsi="宋体" w:eastAsia="宋体"/>
                <w:b w:val="0"/>
                <w:i w:val="0"/>
                <w:sz w:val="20"/>
              </w:rPr>
              <w:t>LA40</w:t>
            </w:r>
          </w:p>
        </w:tc>
        <w:tc>
          <w:tcPr>
            <w:tcW w:type="dxa" w:w="1385"/>
          </w:tcPr>
          <w:p>
            <w:pPr>
              <w:spacing w:line="288" w:lineRule="auto" w:after="0"/>
              <w:jc w:val="center"/>
            </w:pPr>
            <w:r>
              <w:rPr>
                <w:rFonts w:ascii="宋体" w:hAnsi="宋体" w:eastAsia="宋体"/>
                <w:b w:val="0"/>
                <w:i w:val="0"/>
                <w:sz w:val="20"/>
              </w:rPr>
              <w:t>15</w:t>
            </w:r>
          </w:p>
        </w:tc>
        <w:tc>
          <w:tcPr>
            <w:tcW w:type="dxa" w:w="1385"/>
          </w:tcPr>
          <w:p>
            <w:pPr>
              <w:spacing w:line="288" w:lineRule="auto" w:after="0"/>
              <w:jc w:val="center"/>
            </w:pPr>
            <w:r>
              <w:rPr>
                <w:rFonts w:ascii="宋体" w:hAnsi="宋体" w:eastAsia="宋体"/>
                <w:b w:val="0"/>
                <w:i w:val="0"/>
                <w:sz w:val="20"/>
              </w:rPr>
              <w:t>15</w:t>
            </w:r>
          </w:p>
        </w:tc>
        <w:tc>
          <w:tcPr>
            <w:tcW w:type="dxa" w:w="1385"/>
          </w:tcPr>
          <w:p>
            <w:pPr>
              <w:spacing w:line="288" w:lineRule="auto" w:after="0"/>
              <w:jc w:val="center"/>
            </w:pPr>
            <w:r>
              <w:rPr>
                <w:rFonts w:ascii="宋体" w:hAnsi="宋体" w:eastAsia="宋体"/>
                <w:b w:val="0"/>
                <w:i w:val="0"/>
                <w:sz w:val="20"/>
              </w:rPr>
              <w:t>1307</w:t>
            </w:r>
          </w:p>
        </w:tc>
        <w:tc>
          <w:tcPr>
            <w:tcW w:type="dxa" w:w="1385"/>
          </w:tcPr>
          <w:p>
            <w:pPr>
              <w:spacing w:line="288" w:lineRule="auto" w:after="0"/>
              <w:jc w:val="center"/>
            </w:pPr>
            <w:r>
              <w:rPr>
                <w:rFonts w:ascii="宋体" w:hAnsi="宋体" w:eastAsia="宋体"/>
                <w:b w:val="0"/>
                <w:i w:val="0"/>
                <w:sz w:val="20"/>
              </w:rPr>
              <w:t>1222</w:t>
            </w:r>
          </w:p>
        </w:tc>
        <w:tc>
          <w:tcPr>
            <w:tcW w:type="dxa" w:w="1385"/>
          </w:tcPr>
          <w:p>
            <w:pPr>
              <w:spacing w:line="288" w:lineRule="auto" w:after="0"/>
              <w:jc w:val="center"/>
            </w:pPr>
            <w:r>
              <w:rPr>
                <w:rFonts w:ascii="宋体" w:hAnsi="宋体" w:eastAsia="宋体"/>
                <w:b w:val="0"/>
                <w:i w:val="0"/>
                <w:sz w:val="20"/>
              </w:rPr>
              <w:t>7.0%</w:t>
            </w:r>
          </w:p>
        </w:tc>
      </w:tr>
      <w:tr>
        <w:tc>
          <w:tcPr>
            <w:tcW w:type="dxa" w:w="1385"/>
          </w:tcPr>
          <w:p>
            <w:pPr>
              <w:spacing w:line="288" w:lineRule="auto" w:after="0"/>
              <w:jc w:val="center"/>
            </w:pPr>
            <w:r>
              <w:rPr>
                <w:rFonts w:ascii="宋体" w:hAnsi="宋体" w:eastAsia="宋体"/>
                <w:b w:val="0"/>
                <w:i w:val="0"/>
                <w:sz w:val="20"/>
              </w:rPr>
              <w:t>ABZ9</w:t>
            </w:r>
          </w:p>
        </w:tc>
        <w:tc>
          <w:tcPr>
            <w:tcW w:type="dxa" w:w="1385"/>
          </w:tcPr>
          <w:p>
            <w:pPr>
              <w:spacing w:line="288" w:lineRule="auto" w:after="0"/>
              <w:jc w:val="center"/>
            </w:pPr>
            <w:r>
              <w:rPr>
                <w:rFonts w:ascii="宋体" w:hAnsi="宋体" w:eastAsia="宋体"/>
                <w:b w:val="0"/>
                <w:i w:val="0"/>
                <w:sz w:val="20"/>
              </w:rPr>
              <w:t>20</w:t>
            </w:r>
          </w:p>
        </w:tc>
        <w:tc>
          <w:tcPr>
            <w:tcW w:type="dxa" w:w="1385"/>
          </w:tcPr>
          <w:p>
            <w:pPr>
              <w:spacing w:line="288" w:lineRule="auto" w:after="0"/>
              <w:jc w:val="center"/>
            </w:pPr>
            <w:r>
              <w:rPr>
                <w:rFonts w:ascii="宋体" w:hAnsi="宋体" w:eastAsia="宋体"/>
                <w:b w:val="0"/>
                <w:i w:val="0"/>
                <w:sz w:val="20"/>
              </w:rPr>
              <w:t>15</w:t>
            </w:r>
          </w:p>
        </w:tc>
        <w:tc>
          <w:tcPr>
            <w:tcW w:type="dxa" w:w="1385"/>
          </w:tcPr>
          <w:p>
            <w:pPr>
              <w:spacing w:line="288" w:lineRule="auto" w:after="0"/>
              <w:jc w:val="center"/>
            </w:pPr>
            <w:r>
              <w:rPr>
                <w:rFonts w:ascii="宋体" w:hAnsi="宋体" w:eastAsia="宋体"/>
                <w:b w:val="0"/>
                <w:i w:val="0"/>
                <w:sz w:val="20"/>
              </w:rPr>
              <w:t>873</w:t>
            </w:r>
          </w:p>
        </w:tc>
        <w:tc>
          <w:tcPr>
            <w:tcW w:type="dxa" w:w="1385"/>
          </w:tcPr>
          <w:p>
            <w:pPr>
              <w:spacing w:line="288" w:lineRule="auto" w:after="0"/>
              <w:jc w:val="center"/>
            </w:pPr>
            <w:r>
              <w:rPr>
                <w:rFonts w:ascii="宋体" w:hAnsi="宋体" w:eastAsia="宋体"/>
                <w:b w:val="0"/>
                <w:i w:val="0"/>
                <w:sz w:val="20"/>
              </w:rPr>
              <w:t>678</w:t>
            </w:r>
          </w:p>
        </w:tc>
        <w:tc>
          <w:tcPr>
            <w:tcW w:type="dxa" w:w="1385"/>
          </w:tcPr>
          <w:p>
            <w:pPr>
              <w:spacing w:line="288" w:lineRule="auto" w:after="0"/>
              <w:jc w:val="center"/>
            </w:pPr>
            <w:r>
              <w:rPr>
                <w:rFonts w:ascii="宋体" w:hAnsi="宋体" w:eastAsia="宋体"/>
                <w:b w:val="0"/>
                <w:i w:val="0"/>
                <w:sz w:val="20"/>
              </w:rPr>
              <w:t>28.8%</w:t>
            </w:r>
          </w:p>
        </w:tc>
      </w:tr>
      <w:tr>
        <w:tc>
          <w:tcPr>
            <w:tcW w:type="dxa" w:w="1385"/>
          </w:tcPr>
          <w:p>
            <w:pPr>
              <w:spacing w:line="288" w:lineRule="auto" w:after="0"/>
              <w:jc w:val="center"/>
            </w:pPr>
            <w:r>
              <w:rPr>
                <w:rFonts w:ascii="宋体" w:hAnsi="宋体" w:eastAsia="宋体"/>
                <w:b w:val="0"/>
                <w:i w:val="0"/>
                <w:sz w:val="20"/>
              </w:rPr>
              <w:t>SWV20</w:t>
            </w:r>
          </w:p>
        </w:tc>
        <w:tc>
          <w:tcPr>
            <w:tcW w:type="dxa" w:w="1385"/>
          </w:tcPr>
          <w:p>
            <w:pPr>
              <w:spacing w:line="288" w:lineRule="auto" w:after="0"/>
              <w:jc w:val="center"/>
            </w:pPr>
            <w:r>
              <w:rPr>
                <w:rFonts w:ascii="宋体" w:hAnsi="宋体" w:eastAsia="宋体"/>
                <w:b w:val="0"/>
                <w:i w:val="0"/>
                <w:sz w:val="20"/>
              </w:rPr>
              <w:t>50</w:t>
            </w:r>
          </w:p>
        </w:tc>
        <w:tc>
          <w:tcPr>
            <w:tcW w:type="dxa" w:w="1385"/>
          </w:tcPr>
          <w:p>
            <w:pPr>
              <w:spacing w:line="288" w:lineRule="auto" w:after="0"/>
              <w:jc w:val="center"/>
            </w:pPr>
            <w:r>
              <w:rPr>
                <w:rFonts w:ascii="宋体" w:hAnsi="宋体" w:eastAsia="宋体"/>
                <w:b w:val="0"/>
                <w:i w:val="0"/>
                <w:sz w:val="20"/>
              </w:rPr>
              <w:t>10</w:t>
            </w:r>
          </w:p>
        </w:tc>
        <w:tc>
          <w:tcPr>
            <w:tcW w:type="dxa" w:w="1385"/>
          </w:tcPr>
          <w:p>
            <w:pPr>
              <w:spacing w:line="288" w:lineRule="auto" w:after="0"/>
              <w:jc w:val="center"/>
            </w:pPr>
            <w:r>
              <w:rPr>
                <w:rFonts w:ascii="宋体" w:hAnsi="宋体" w:eastAsia="宋体"/>
                <w:b w:val="0"/>
                <w:i w:val="0"/>
                <w:sz w:val="20"/>
              </w:rPr>
              <w:t>2823</w:t>
            </w:r>
          </w:p>
        </w:tc>
        <w:tc>
          <w:tcPr>
            <w:tcW w:type="dxa" w:w="1385"/>
          </w:tcPr>
          <w:p>
            <w:pPr>
              <w:spacing w:line="288" w:lineRule="auto" w:after="0"/>
              <w:jc w:val="center"/>
            </w:pPr>
            <w:r>
              <w:rPr>
                <w:rFonts w:ascii="宋体" w:hAnsi="宋体" w:eastAsia="宋体"/>
                <w:b w:val="0"/>
                <w:i w:val="0"/>
                <w:sz w:val="20"/>
              </w:rPr>
              <w:t>1675</w:t>
            </w:r>
          </w:p>
        </w:tc>
        <w:tc>
          <w:tcPr>
            <w:tcW w:type="dxa" w:w="1385"/>
          </w:tcPr>
          <w:p>
            <w:pPr>
              <w:spacing w:line="288" w:lineRule="auto" w:after="0"/>
              <w:jc w:val="center"/>
            </w:pPr>
            <w:r>
              <w:rPr>
                <w:rFonts w:ascii="宋体" w:hAnsi="宋体" w:eastAsia="宋体"/>
                <w:b w:val="0"/>
                <w:i w:val="0"/>
                <w:sz w:val="20"/>
              </w:rPr>
              <w:t>68.5%</w:t>
            </w:r>
          </w:p>
        </w:tc>
      </w:tr>
      <w:tr>
        <w:tc>
          <w:tcPr>
            <w:tcW w:type="dxa" w:w="1385"/>
          </w:tcPr>
          <w:p>
            <w:pPr>
              <w:spacing w:line="288" w:lineRule="auto" w:after="0"/>
              <w:jc w:val="center"/>
            </w:pPr>
            <w:r>
              <w:rPr>
                <w:rFonts w:ascii="宋体" w:hAnsi="宋体" w:eastAsia="宋体"/>
                <w:b w:val="0"/>
                <w:i w:val="0"/>
                <w:sz w:val="20"/>
              </w:rPr>
              <w:t>DMU80</w:t>
            </w:r>
          </w:p>
        </w:tc>
        <w:tc>
          <w:tcPr>
            <w:tcW w:type="dxa" w:w="1385"/>
          </w:tcPr>
          <w:p>
            <w:pPr>
              <w:spacing w:line="288" w:lineRule="auto" w:after="0"/>
              <w:jc w:val="center"/>
            </w:pPr>
            <w:r>
              <w:rPr>
                <w:rFonts w:ascii="宋体" w:hAnsi="宋体" w:eastAsia="宋体"/>
                <w:b w:val="0"/>
                <w:i w:val="0"/>
                <w:sz w:val="20"/>
              </w:rPr>
              <w:t>50</w:t>
            </w:r>
          </w:p>
        </w:tc>
        <w:tc>
          <w:tcPr>
            <w:tcW w:type="dxa" w:w="1385"/>
          </w:tcPr>
          <w:p>
            <w:pPr>
              <w:spacing w:line="288" w:lineRule="auto" w:after="0"/>
              <w:jc w:val="center"/>
            </w:pPr>
            <w:r>
              <w:rPr>
                <w:rFonts w:ascii="宋体" w:hAnsi="宋体" w:eastAsia="宋体"/>
                <w:b w:val="0"/>
                <w:i w:val="0"/>
                <w:sz w:val="20"/>
              </w:rPr>
              <w:t>20</w:t>
            </w:r>
          </w:p>
        </w:tc>
        <w:tc>
          <w:tcPr>
            <w:tcW w:type="dxa" w:w="1385"/>
          </w:tcPr>
          <w:p>
            <w:pPr>
              <w:spacing w:line="288" w:lineRule="auto" w:after="0"/>
              <w:jc w:val="center"/>
            </w:pPr>
            <w:r>
              <w:rPr>
                <w:rFonts w:ascii="宋体" w:hAnsi="宋体" w:eastAsia="宋体"/>
                <w:b w:val="0"/>
                <w:i w:val="0"/>
                <w:sz w:val="20"/>
              </w:rPr>
              <w:t>9280</w:t>
            </w:r>
          </w:p>
        </w:tc>
        <w:tc>
          <w:tcPr>
            <w:tcW w:type="dxa" w:w="1385"/>
          </w:tcPr>
          <w:p>
            <w:pPr>
              <w:spacing w:line="288" w:lineRule="auto" w:after="0"/>
              <w:jc w:val="center"/>
            </w:pPr>
            <w:r>
              <w:rPr>
                <w:rFonts w:ascii="宋体" w:hAnsi="宋体" w:eastAsia="宋体"/>
                <w:b w:val="0"/>
                <w:i w:val="0"/>
                <w:sz w:val="20"/>
              </w:rPr>
              <w:t>暂无</w:t>
            </w:r>
          </w:p>
        </w:tc>
        <w:tc>
          <w:tcPr>
            <w:tcW w:type="dxa" w:w="1385"/>
          </w:tcPr>
          <w:p>
            <w:pPr>
              <w:spacing w:line="288" w:lineRule="auto" w:after="0"/>
              <w:jc w:val="center"/>
            </w:pPr>
            <w:r>
              <w:rPr>
                <w:rFonts w:ascii="宋体" w:hAnsi="宋体" w:eastAsia="宋体"/>
                <w:b w:val="0"/>
                <w:i w:val="0"/>
                <w:sz w:val="20"/>
              </w:rPr>
              <w:t>-</w:t>
            </w:r>
          </w:p>
        </w:tc>
      </w:tr>
    </w:tbl>
    <w:p>
      <w:pPr>
        <w:jc w:val="center"/>
      </w:pPr>
      <w:r>
        <w:drawing>
          <wp:inline xmlns:a="http://schemas.openxmlformats.org/drawingml/2006/main" xmlns:pic="http://schemas.openxmlformats.org/drawingml/2006/picture">
            <wp:extent cx="5040000" cy="2161735"/>
            <wp:docPr id="6" name="Picture 6"/>
            <wp:cNvGraphicFramePr>
              <a:graphicFrameLocks noChangeAspect="1"/>
            </wp:cNvGraphicFramePr>
            <a:graphic>
              <a:graphicData uri="http://schemas.openxmlformats.org/drawingml/2006/picture">
                <pic:pic>
                  <pic:nvPicPr>
                    <pic:cNvPr id="0" name="06_benchmark_results.png"/>
                    <pic:cNvPicPr/>
                  </pic:nvPicPr>
                  <pic:blipFill>
                    <a:blip r:embed="rId16"/>
                    <a:stretch>
                      <a:fillRect/>
                    </a:stretch>
                  </pic:blipFill>
                  <pic:spPr>
                    <a:xfrm>
                      <a:off x="0" y="0"/>
                      <a:ext cx="5040000" cy="2161735"/>
                    </a:xfrm>
                    <a:prstGeom prst="rect"/>
                  </pic:spPr>
                </pic:pic>
              </a:graphicData>
            </a:graphic>
          </wp:inline>
        </w:drawing>
      </w:r>
    </w:p>
    <w:p>
      <w:pPr>
        <w:spacing w:line="360" w:lineRule="auto" w:after="200"/>
        <w:jc w:val="center"/>
      </w:pPr>
      <w:r>
        <w:rPr>
          <w:rFonts w:ascii="宋体" w:hAnsi="宋体" w:eastAsia="宋体"/>
          <w:b w:val="0"/>
          <w:i/>
          <w:sz w:val="20"/>
        </w:rPr>
        <w:t>图4-4 五个国际标准Job Shop Scheduling基准数据集测试对比结果</w:t>
      </w:r>
    </w:p>
    <w:p>
      <w:pPr>
        <w:spacing w:line="360" w:lineRule="auto" w:after="160"/>
      </w:pPr>
      <w:r>
        <w:rPr>
          <w:rFonts w:ascii="宋体" w:hAnsi="宋体" w:eastAsia="宋体"/>
          <w:b/>
          <w:i w:val="0"/>
          <w:sz w:val="28"/>
        </w:rPr>
        <w:t>4.5 A2C训练结果</w:t>
      </w:r>
    </w:p>
    <w:p>
      <w:pPr>
        <w:spacing w:line="360" w:lineRule="auto" w:after="120"/>
      </w:pPr>
      <w:r>
        <w:rPr>
          <w:rFonts w:ascii="宋体" w:hAnsi="宋体" w:eastAsia="宋体"/>
          <w:b w:val="0"/>
          <w:i w:val="0"/>
          <w:sz w:val="24"/>
        </w:rPr>
        <w:t>A2C训练模块用于优化拓扑选择策略。训练过程中，系统根据每一轮调度任务的奖励信号更新不同拓扑被选择的概率分布。训练结果显示，系统能够逐渐提高并行汇聚和高风险审查等拓扑在复杂场景中的选择概率，体现出对任务风险和调度复杂度的适应性。</w:t>
      </w:r>
    </w:p>
    <w:p>
      <w:pPr>
        <w:jc w:val="center"/>
      </w:pPr>
      <w:r>
        <w:drawing>
          <wp:inline xmlns:a="http://schemas.openxmlformats.org/drawingml/2006/main" xmlns:pic="http://schemas.openxmlformats.org/drawingml/2006/picture">
            <wp:extent cx="5040000" cy="2481818"/>
            <wp:docPr id="7" name="Picture 7"/>
            <wp:cNvGraphicFramePr>
              <a:graphicFrameLocks noChangeAspect="1"/>
            </wp:cNvGraphicFramePr>
            <a:graphic>
              <a:graphicData uri="http://schemas.openxmlformats.org/drawingml/2006/picture">
                <pic:pic>
                  <pic:nvPicPr>
                    <pic:cNvPr id="0" name="07_a2c_training.png"/>
                    <pic:cNvPicPr/>
                  </pic:nvPicPr>
                  <pic:blipFill>
                    <a:blip r:embed="rId17"/>
                    <a:stretch>
                      <a:fillRect/>
                    </a:stretch>
                  </pic:blipFill>
                  <pic:spPr>
                    <a:xfrm>
                      <a:off x="0" y="0"/>
                      <a:ext cx="5040000" cy="2481818"/>
                    </a:xfrm>
                    <a:prstGeom prst="rect"/>
                  </pic:spPr>
                </pic:pic>
              </a:graphicData>
            </a:graphic>
          </wp:inline>
        </w:drawing>
      </w:r>
    </w:p>
    <w:p>
      <w:pPr>
        <w:spacing w:line="360" w:lineRule="auto" w:after="200"/>
        <w:jc w:val="center"/>
      </w:pPr>
      <w:r>
        <w:rPr>
          <w:rFonts w:ascii="宋体" w:hAnsi="宋体" w:eastAsia="宋体"/>
          <w:b w:val="0"/>
          <w:i/>
          <w:sz w:val="20"/>
        </w:rPr>
        <w:t>图4-5 A2C强化学习训练奖励曲线与拓扑选择概率分布</w:t>
      </w:r>
    </w:p>
    <w:p>
      <w:pPr>
        <w:spacing w:line="360" w:lineRule="auto" w:after="160"/>
      </w:pPr>
      <w:r>
        <w:rPr>
          <w:rFonts w:ascii="宋体" w:hAnsi="宋体" w:eastAsia="宋体"/>
          <w:b/>
          <w:i w:val="0"/>
          <w:sz w:val="32"/>
        </w:rPr>
        <w:t>第五章 结论与展望</w:t>
      </w:r>
    </w:p>
    <w:p>
      <w:pPr>
        <w:spacing w:line="360" w:lineRule="auto" w:after="120"/>
      </w:pPr>
      <w:r>
        <w:rPr>
          <w:rFonts w:ascii="宋体" w:hAnsi="宋体" w:eastAsia="宋体"/>
          <w:b w:val="0"/>
          <w:i w:val="0"/>
          <w:sz w:val="24"/>
        </w:rPr>
        <w:t>本文提出并实现了DynaTwin-Swarm工业多智能体协同调度系统，在工业调度领域实现DynaSwarm动态图结构选择与ReflAct反射推理的协同工程化，验证了多智能体协作在动态扰动响应场景中的有效性。系统通过数字孪生状态建模、豆包大模型推理、A2C拓扑优化和CP-SAT约束求解，实现了从故障感知到自动重排的闭环流程。后续工作将接入真实工厂IoT数据流，扩展至磷化工和矿山等贵州重点工业场景，并进一步完善华为盘古大模型与昇腾推理体系的深度集成，推动系统从技术验证阶段向产业落地阶段迈进。</w:t>
      </w:r>
    </w:p>
    <w:p>
      <w:pPr>
        <w:spacing w:line="360" w:lineRule="auto" w:after="160"/>
      </w:pPr>
      <w:r>
        <w:rPr>
          <w:rFonts w:ascii="宋体" w:hAnsi="宋体" w:eastAsia="宋体"/>
          <w:b/>
          <w:i w:val="0"/>
          <w:sz w:val="32"/>
        </w:rPr>
        <w:t>参考文献</w:t>
      </w:r>
    </w:p>
    <w:p>
      <w:pPr>
        <w:spacing w:line="360" w:lineRule="auto" w:after="120"/>
      </w:pPr>
      <w:r>
        <w:rPr>
          <w:rFonts w:ascii="宋体" w:hAnsi="宋体" w:eastAsia="宋体"/>
          <w:b w:val="0"/>
          <w:i w:val="0"/>
          <w:sz w:val="24"/>
        </w:rPr>
        <w:t>[1] DynaSwarm: Dynamic Graph Structure Selection for Multi-Agent Collaboration[C]//Proceedings of EMNLP 2025.</w:t>
      </w:r>
    </w:p>
    <w:p>
      <w:pPr>
        <w:spacing w:line="360" w:lineRule="auto" w:after="120"/>
      </w:pPr>
      <w:r>
        <w:rPr>
          <w:rFonts w:ascii="宋体" w:hAnsi="宋体" w:eastAsia="宋体"/>
          <w:b w:val="0"/>
          <w:i w:val="0"/>
          <w:sz w:val="24"/>
        </w:rPr>
        <w:t>[2] ReflAct: Target-State Reflection for Language Agent Decision Making[C]//Proceedings of EMNLP 2025.</w:t>
      </w:r>
    </w:p>
    <w:p>
      <w:pPr>
        <w:spacing w:line="360" w:lineRule="auto" w:after="120"/>
      </w:pPr>
      <w:r>
        <w:rPr>
          <w:rFonts w:ascii="宋体" w:hAnsi="宋体" w:eastAsia="宋体"/>
          <w:b w:val="0"/>
          <w:i w:val="0"/>
          <w:sz w:val="24"/>
        </w:rPr>
        <w:t>[3] Google. OR-Tools CP-SAT Solver Documentation[EB/OL]. Google Developers.</w:t>
      </w:r>
    </w:p>
    <w:p>
      <w:pPr>
        <w:spacing w:line="360" w:lineRule="auto" w:after="120"/>
      </w:pPr>
      <w:r>
        <w:rPr>
          <w:rFonts w:ascii="宋体" w:hAnsi="宋体" w:eastAsia="宋体"/>
          <w:b w:val="0"/>
          <w:i w:val="0"/>
          <w:sz w:val="24"/>
        </w:rPr>
        <w:t>[4] Huawei. Ascend AI Technical White Paper[R]. Huawei Technologies Co., Ltd.</w:t>
      </w:r>
    </w:p>
    <w:p>
      <w:pPr>
        <w:spacing w:line="360" w:lineRule="auto" w:after="120"/>
      </w:pPr>
      <w:r>
        <w:rPr>
          <w:rFonts w:ascii="宋体" w:hAnsi="宋体" w:eastAsia="宋体"/>
          <w:b w:val="0"/>
          <w:i w:val="0"/>
          <w:sz w:val="24"/>
        </w:rPr>
        <w:t>[5] Taillard E. Benchmarks for basic scheduling problems[J]. European Journal of Operational Research, 1993, 64(2): 278-285.</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sz w:val="20"/>
      </w:rPr>
      <w:t>DynaTwin-Swarm项目技术文档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