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맑은 고딕" w:cs="맑은 고딕" w:eastAsia="맑은 고딕" w:hAnsi="맑은 고딕"/>
          <w:b/>
          <w:bCs/>
          <w:sz w:val="36"/>
          <w:szCs w:val="36"/>
        </w:rPr>
        <w:t xml:space="preserve">대조표 — 발표 자료 v29 → v29a (검토자 지적 반영)</w:t>
      </w:r>
    </w:p>
    <w:p>
      <w:pPr>
        <w:spacing w:after="120"/>
      </w:pPr>
      <w:r>
        <w:rPr>
          <w:rFonts w:ascii="맑은 고딕" w:cs="맑은 고딕" w:eastAsia="맑은 고딕" w:hAnsi="맑은 고딕"/>
          <w:sz w:val="18"/>
          <w:szCs w:val="18"/>
        </w:rPr>
        <w:t xml:space="preserve">발표자료_20261007_v29_15분판.pptx → v29a_15분판.pptx (81장 그대로). 2026-10-14 세션 61 — 독립 검토자 1명의 논문 대조 결과 반영.</w:t>
      </w:r>
    </w:p>
    <w:p>
      <w:pPr>
        <w:pStyle w:val="Heading1"/>
        <w:spacing w:after="120" w:before="200"/>
      </w:pPr>
      <w:r>
        <w:rPr>
          <w:rFonts w:ascii="맑은 고딕" w:cs="맑은 고딕" w:eastAsia="맑은 고딕" w:hAnsi="맑은 고딕"/>
          <w:b/>
          <w:bCs/>
          <w:sz w:val="28"/>
          <w:szCs w:val="28"/>
        </w:rPr>
        <w:t xml:space="preserve">1. 원칙</w:t>
      </w:r>
    </w:p>
    <w:p>
      <w:pPr>
        <w:spacing w:after="60"/>
      </w:pPr>
      <w:r>
        <w:rPr>
          <w:rFonts w:ascii="맑은 고딕" w:cs="맑은 고딕" w:eastAsia="맑은 고딕" w:hAnsi="맑은 고딕"/>
          <w:sz w:val="17"/>
          <w:szCs w:val="17"/>
        </w:rPr>
        <w:t xml:space="preserve">· 검토 방식 — 설계를 모르는 검토자에게 v29 발표자료(본 19장 화면·노트 전수)·노트북 참고와 물으면(cheat29)·논문 덤프(v203)·규칙표 v18만 주고 ① 숫자·용어·그림 번호의 논문 일치 ② 규칙 문맥 ③ 심사위원 다섯 분 관점에서 빠진 질문을 보게 함. 숫자·셈(30조항, 28/25/3, 44/11, 16종 8·2·3·3, 55문항 30·6·10·9, 핵심 4종 배치, ML 조건, 2.89→2.85, 36/51, 영역 평점, R1~R5 효과와 3.15, 24건 22·1·1)은 모두 일치.</w:t>
      </w:r>
    </w:p>
    <w:p>
      <w:pPr>
        <w:spacing w:after="60"/>
      </w:pPr>
      <w:r>
        <w:rPr>
          <w:rFonts w:ascii="맑은 고딕" w:cs="맑은 고딕" w:eastAsia="맑은 고딕" w:hAnsi="맑은 고딕"/>
          <w:sz w:val="17"/>
          <w:szCs w:val="17"/>
        </w:rPr>
        <w:t xml:space="preserve">· 고친 것(논문 일치) — 16번 단점은 7건(장점 6건·단점 7건), 넷은 보완·셋은 설계 제약(5.2) · 노트북 16 예상질문 37 답을 5.2의 세 가지(측정 대상·표준 정합성·선행연구와의 관계)로 · 17번 한계 여덟 항목 중 ⑦ 미측정 구간 보강, 대응 경로 정정(다사례·다평가자·재평가 / CVI는 타당화) · 7번 측정 틀 ISO/IEC 33020·점수별 상태 기술 BARS, 선례는 논문 표현 「국내 공공데이터 품질 연구(PPDQM3·APDQM3)」 · 9번 「조항 25개(전조항 28개 가운데)」 · 11번 「모두 4점 이상」 · 12·15번 「구조적 미비 세 가지와 공통 원인 두 가지에서 과제 다섯 건」 · 12번 「문서 심사 — 면담·실행 상태의 현장 관찰은 포함하지 않음」 · 노트북 8 참고에 A-8 주석.</w:t>
      </w:r>
    </w:p>
    <w:p>
      <w:pPr>
        <w:spacing w:after="60"/>
      </w:pPr>
      <w:r>
        <w:rPr>
          <w:rFonts w:ascii="맑은 고딕" w:cs="맑은 고딕" w:eastAsia="맑은 고딕" w:hAnsi="맑은 고딕"/>
          <w:sz w:val="17"/>
          <w:szCs w:val="17"/>
        </w:rPr>
        <w:t xml:space="preserve">· 고친 것(표현) — 6번 논문 고정 문구 「그 결과를 되풀이하여 관리하는 주기는 정하지 않았다」(화면·노트) · 10번 「추가 항목(should 또는 체계화·지속 상태)」 · 5번 「중대한 환경측면을 결정하고」 · 11번 「연계가 성립하지 않은 것과 성숙도가 낮은 것」 · 14번 「LCA 연 1회 재수행 규정은 있으나 아직 이행 전」. 두지 않은 것 — 15번 그림 안 「외부 정밀검토」(논문 그림 그대로) · 2번 목차 로마자 Ⅴ(구조 변경이라 보류).</w:t>
      </w:r>
    </w:p>
    <w:p>
      <w:pPr>
        <w:spacing w:after="60"/>
      </w:pPr>
      <w:r>
        <w:rPr>
          <w:rFonts w:ascii="맑은 고딕" w:cs="맑은 고딕" w:eastAsia="맑은 고딕" w:hAnsi="맑은 고딕"/>
          <w:sz w:val="17"/>
          <w:szCs w:val="17"/>
        </w:rPr>
        <w:t xml:space="preserve">· 노트북 예상 질문 54~63 추가(검토자 제안, 이사님 54번 답 방향 반영) — 경영검토 9.3 점검인가 개선인가 · 역방향 매핑 기준 · 형성형 구성개념과 CVI · ML2 과반 조건의 P 편중 · 기계학습 축약의 표본 수 · 평가자 전환교육 · 갱신심사 부적합 0인데 왜 ML2 · D-2의 필수 체크포인트 · ML4 「예측화」 명칭 · 34행→30 셈. 노트 합계 15분 55초, 규칙 0건.</w:t>
      </w:r>
    </w:p>
    <w:p>
      <w:pPr>
        <w:pStyle w:val="Heading1"/>
        <w:spacing w:after="120" w:before="200"/>
      </w:pPr>
      <w:r>
        <w:rPr>
          <w:rFonts w:ascii="맑은 고딕" w:cs="맑은 고딕" w:eastAsia="맑은 고딕" w:hAnsi="맑은 고딕"/>
          <w:b/>
          <w:bCs/>
          <w:sz w:val="28"/>
          <w:szCs w:val="28"/>
        </w:rPr>
        <w:t xml:space="preserve">2. 바뀐 곳</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5000"/>
        <w:gridCol w:w="5600"/>
        <w:gridCol w:w="2898"/>
      </w:tblGrid>
      <w:tr>
        <w:trPr>
          <w:tblHeader/>
        </w:trPr>
        <w:tc>
          <w:tcPr>
            <w:tcW w:type="dxa" w:w="600"/>
            <w:tcBorders>
              <w:top w:val="single" w:color="A6B0C3" w:sz="4"/>
              <w:left w:val="single" w:color="A6B0C3" w:sz="4"/>
              <w:bottom w:val="single" w:color="A6B0C3" w:sz="4"/>
              <w:right w:val="single" w:color="A6B0C3" w:sz="4"/>
            </w:tcBorders>
            <w:shd w:fill="1F3864" w:color="auto" w:val="clear"/>
            <w:tcMar>
              <w:top w:type="dxa" w:w="40"/>
              <w:left w:type="dxa" w:w="70"/>
              <w:bottom w:type="dxa" w:w="40"/>
              <w:right w:type="dxa" w:w="70"/>
            </w:tcMar>
          </w:tcPr>
          <w:p>
            <w:pPr>
              <w:spacing w:after="30"/>
            </w:pPr>
            <w:r>
              <w:rPr>
                <w:rFonts w:ascii="맑은 고딕" w:cs="맑은 고딕" w:eastAsia="맑은 고딕" w:hAnsi="맑은 고딕"/>
                <w:b/>
                <w:bCs/>
                <w:color w:val="FFFFFF"/>
                <w:sz w:val="16"/>
                <w:szCs w:val="16"/>
              </w:rPr>
              <w:t xml:space="preserve">#</w:t>
            </w:r>
          </w:p>
        </w:tc>
        <w:tc>
          <w:tcPr>
            <w:tcW w:type="dxa" w:w="1300"/>
            <w:tcBorders>
              <w:top w:val="single" w:color="A6B0C3" w:sz="4"/>
              <w:left w:val="single" w:color="A6B0C3" w:sz="4"/>
              <w:bottom w:val="single" w:color="A6B0C3" w:sz="4"/>
              <w:right w:val="single" w:color="A6B0C3" w:sz="4"/>
            </w:tcBorders>
            <w:shd w:fill="1F3864" w:color="auto" w:val="clear"/>
            <w:tcMar>
              <w:top w:type="dxa" w:w="40"/>
              <w:left w:type="dxa" w:w="70"/>
              <w:bottom w:type="dxa" w:w="40"/>
              <w:right w:type="dxa" w:w="70"/>
            </w:tcMar>
          </w:tcPr>
          <w:p>
            <w:pPr>
              <w:spacing w:after="30"/>
            </w:pPr>
            <w:r>
              <w:rPr>
                <w:rFonts w:ascii="맑은 고딕" w:cs="맑은 고딕" w:eastAsia="맑은 고딕" w:hAnsi="맑은 고딕"/>
                <w:b/>
                <w:bCs/>
                <w:color w:val="FFFFFF"/>
                <w:sz w:val="16"/>
                <w:szCs w:val="16"/>
              </w:rPr>
              <w:t xml:space="preserve">슬라이드(옛 번호)</w:t>
            </w:r>
          </w:p>
        </w:tc>
        <w:tc>
          <w:tcPr>
            <w:tcW w:type="dxa" w:w="5000"/>
            <w:tcBorders>
              <w:top w:val="single" w:color="A6B0C3" w:sz="4"/>
              <w:left w:val="single" w:color="A6B0C3" w:sz="4"/>
              <w:bottom w:val="single" w:color="A6B0C3" w:sz="4"/>
              <w:right w:val="single" w:color="A6B0C3" w:sz="4"/>
            </w:tcBorders>
            <w:shd w:fill="1F3864" w:color="auto" w:val="clear"/>
            <w:tcMar>
              <w:top w:type="dxa" w:w="40"/>
              <w:left w:type="dxa" w:w="70"/>
              <w:bottom w:type="dxa" w:w="40"/>
              <w:right w:type="dxa" w:w="70"/>
            </w:tcMar>
          </w:tcPr>
          <w:p>
            <w:pPr>
              <w:spacing w:after="30"/>
            </w:pPr>
            <w:r>
              <w:rPr>
                <w:rFonts w:ascii="맑은 고딕" w:cs="맑은 고딕" w:eastAsia="맑은 고딕" w:hAnsi="맑은 고딕"/>
                <w:b/>
                <w:bCs/>
                <w:color w:val="FFFFFF"/>
                <w:sz w:val="16"/>
                <w:szCs w:val="16"/>
              </w:rPr>
              <w:t xml:space="preserve">항목</w:t>
            </w:r>
          </w:p>
        </w:tc>
        <w:tc>
          <w:tcPr>
            <w:tcW w:type="dxa" w:w="5600"/>
            <w:tcBorders>
              <w:top w:val="single" w:color="A6B0C3" w:sz="4"/>
              <w:left w:val="single" w:color="A6B0C3" w:sz="4"/>
              <w:bottom w:val="single" w:color="A6B0C3" w:sz="4"/>
              <w:right w:val="single" w:color="A6B0C3" w:sz="4"/>
            </w:tcBorders>
            <w:shd w:fill="1F3864" w:color="auto" w:val="clear"/>
            <w:tcMar>
              <w:top w:type="dxa" w:w="40"/>
              <w:left w:type="dxa" w:w="70"/>
              <w:bottom w:type="dxa" w:w="40"/>
              <w:right w:type="dxa" w:w="70"/>
            </w:tcMar>
          </w:tcPr>
          <w:p>
            <w:pPr>
              <w:spacing w:after="30"/>
            </w:pPr>
            <w:r>
              <w:rPr>
                <w:rFonts w:ascii="맑은 고딕" w:cs="맑은 고딕" w:eastAsia="맑은 고딕" w:hAnsi="맑은 고딕"/>
                <w:b/>
                <w:bCs/>
                <w:color w:val="FFFFFF"/>
                <w:sz w:val="16"/>
                <w:szCs w:val="16"/>
              </w:rPr>
              <w:t xml:space="preserve">v29 → v29a</w:t>
            </w:r>
          </w:p>
        </w:tc>
        <w:tc>
          <w:tcPr>
            <w:tcW w:type="dxa" w:w="2898"/>
            <w:tcBorders>
              <w:top w:val="single" w:color="A6B0C3" w:sz="4"/>
              <w:left w:val="single" w:color="A6B0C3" w:sz="4"/>
              <w:bottom w:val="single" w:color="A6B0C3" w:sz="4"/>
              <w:right w:val="single" w:color="A6B0C3" w:sz="4"/>
            </w:tcBorders>
            <w:shd w:fill="1F3864" w:color="auto" w:val="clear"/>
            <w:tcMar>
              <w:top w:type="dxa" w:w="40"/>
              <w:left w:type="dxa" w:w="70"/>
              <w:bottom w:type="dxa" w:w="40"/>
              <w:right w:type="dxa" w:w="70"/>
            </w:tcMar>
          </w:tcPr>
          <w:p>
            <w:pPr>
              <w:spacing w:after="30"/>
            </w:pPr>
            <w:r>
              <w:rPr>
                <w:rFonts w:ascii="맑은 고딕" w:cs="맑은 고딕" w:eastAsia="맑은 고딕" w:hAnsi="맑은 고딕"/>
                <w:b/>
                <w:bCs/>
                <w:color w:val="FFFFFF"/>
                <w:sz w:val="16"/>
                <w:szCs w:val="16"/>
              </w:rPr>
              <w:t xml:space="preserve">이유</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5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중대한 환경측면을 정하고</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중대한 환경측면을 결정하고</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논문 용어 「결정」(1.2.1)</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6 [5]</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 ISO 14001은 방법을 정하지 않고, ISO 14044는 경영시스템에 넣는 일을 정하지 않는다 — 그 사이가 연계다.</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 ISO 14001은 정량 방법을, ISO 14044는 결과를 되풀이하여 관리하는 주기를 정하지 않았다 — 그 사이가 연계다.</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논문 고정 문구</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3</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6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그 결과를 경영시스템에 넣는 일은 정하지 않았습니다.</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그 결과를 되풀이하여 관리하는 주기는 정하지 않았습니다.</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논문 고정 문구(2.3.2)</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4</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6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문장은 2.3.2·2.3.3(B432·B435) 그대로.</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문장은 2.3.2(B432·B435) 그대로.</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절 번호</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5</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7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척도는 행동기술척도에서 가져왔고, 그 적용 선례가 지도교수 연구진의 공공데이터 품질 성숙도 연구입니다.</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측정의 틀은 ISO/IEC 33020, 점수별 상태 기술은 행동기술척도에서 가져왔고, 그 적용 선례가 국내 공공데이터 품질 연구(PPDQM3·APDQM3)입니다.</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검토자 지적 — 3.3.2(B730), 논문 표현(B508)</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6</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9 [9]</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전과정평가(LCA, ISO 14044)</w:t>
            </w:r>
          </w:p>
          <w:p>
            <w:pPr>
              <w:spacing w:after="30"/>
            </w:pPr>
            <w:r>
              <w:rPr>
                <w:rFonts w:ascii="맑은 고딕" w:cs="맑은 고딕" w:eastAsia="맑은 고딕" w:hAnsi="맑은 고딕"/>
                <w:color w:val="7F7F7F"/>
                <w:sz w:val="15"/>
                <w:szCs w:val="15"/>
              </w:rPr>
              <w:t xml:space="preserve">요구사항 25개</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전과정평가(LCA, ISO 14044)</w:t>
            </w:r>
          </w:p>
          <w:p>
            <w:pPr>
              <w:spacing w:after="30"/>
            </w:pPr>
            <w:r>
              <w:rPr>
                <w:rFonts w:ascii="맑은 고딕" w:cs="맑은 고딕" w:eastAsia="맑은 고딕" w:hAnsi="맑은 고딕"/>
                <w:sz w:val="16"/>
                <w:szCs w:val="16"/>
              </w:rPr>
              <w:t xml:space="preserve">조항 25개(전조항 28개 가운데)</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검토자 지적 — 25는 근거 조항 수(3.3.1)</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7</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10 [15]</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추가 항목(should)을 적어 둠</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추가 항목(should 또는 체계화·지속 상태)을 적어 둠</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검토자 지적 — 3.3.2(B725)</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8</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11 [22]</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핵심 문항 4종 모두 4점,</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핵심 문항 4종 모두 4점 이상,</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[표 3-7] ≥ 4</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9</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11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연계가 아예 끊긴 것과 연계가 얕은 것은 다르기 때문에</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연계가 성립하지 않은 것과 성숙도가 낮은 것은 다르기 때문에</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논문 표현(3.4.1)</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10</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12 [27]</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문서 심사(면담·현장 관찰 없음)</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문서 심사 — 면담·실행 상태의 현장 관찰은 포함하지 않음</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검토자 지적 — [표 5-1] 표현</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11</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12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평가는 문서 심사만으로, 평가자 한 명이,</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평가는 문서 심사로 면담과 실행 상태의 현장 관찰은 포함하지 않고, 평가자 한 명이,</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검토자 지적</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12</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12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낮은 점수의 원인 세 가지에서 개선 과제 다섯 건을 도출하였고</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구조적 미비 세 가지와 공통 원인 두 가지에서 개선 과제 다섯 건을 도출하였고</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4.5·4.6(B932·B949)</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13</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14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LCA를 다시 할 때가 아직 오지 않았습니다.</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LCA 연 1회 재수행 규정은 있으나 아직 이행 전입니다.</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4.5.1 ③</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14</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15 [5]</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 낮은 점수의 원인 세 가지에서 개선 과제 다섯 건 — 다 마치면 종합 3.15점, ML3이 전망된다.</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 구조적 미비 셋과 공통 원인 둘에서 개선 과제 다섯 건 — 다 마치면 종합 3.15점, ML3이 전망된다.</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4.5·4.6</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15</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15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낮은 점수의 원인 세 가지에서 과제 다섯 건을 도출했고</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구조적 미비 세 가지와 공통 원인 두 가지에서 과제 다섯 건을 도출했고</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4.5·4.6</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16</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16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장단점 표의 단점은 전문가 조사와 다사례 적용으로 보완할 것입니다.</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단점 일곱 가운데 넷은 전문가 조사와 다사례 적용으로 보완하고, 셋은 설계에서 비롯되는 제약입니다.</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5.2(B1018)</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17</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16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[표 5-1] 장점 6·단점 6 전문은</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[표 5-1] 장점 6건·단점 7건(핵심 문항 의존·판정 파라미터·평가 부담·적용 대상 제약·문항 간 종속·문서 심사·환경성과 미검증) 전문은</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단점 7건</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18</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17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한계는 여덟 항목입니다. 단일 사례·단일 시점·단일 평가자와 상위 수준 미검증은 자료 조건의 경계이고, 전문가 조사와 다사례 적용으로 풉니다.</w:t>
            </w:r>
          </w:p>
          <w:p>
            <w:pPr>
              <w:spacing w:after="30"/>
            </w:pPr>
            <w:r>
              <w:rPr>
                <w:rFonts w:ascii="맑은 고딕" w:cs="맑은 고딕" w:eastAsia="맑은 고딕" w:hAnsi="맑은 고딕"/>
                <w:color w:val="7F7F7F"/>
                <w:sz w:val="15"/>
                <w:szCs w:val="15"/>
              </w:rPr>
              <w:t xml:space="preserve">문항 간 종속과 타당화 확장은 심화 과제, 표준 판의 범위와 진단·개선 고도화는 유지·고도화 과제이며, 표준화 경로의 검토는 학회·협회를 거친 뒤의 일입니다.</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한계는 여덟 항목입니다. 단일 사례·단일 시점·단일 평가자와 상위 수준 미검증은 자료 조건의 경계이고, 다사례·다평가자 적용과 개선 이행 뒤 재평가로 풉니다.</w:t>
            </w:r>
          </w:p>
          <w:p>
            <w:pPr>
              <w:spacing w:after="30"/>
            </w:pPr>
            <w:r>
              <w:rPr>
                <w:rFonts w:ascii="맑은 고딕" w:cs="맑은 고딕" w:eastAsia="맑은 고딕" w:hAnsi="맑은 고딕"/>
                <w:sz w:val="16"/>
                <w:szCs w:val="16"/>
              </w:rPr>
              <w:t xml:space="preserve">문항 간 종속과 타당화 확장은 심화 과제로 전문가 조사가 여기에 들어가고, 표준 판의 범위와 진단·개선 고도화는 유지·고도화 과제이며, 외주처리 구간처럼 매핑에서 확인된 미측정 구간은 확장 과제, 표준화 경로의 검토는 학회·협회를 거친 뒤의 일입니다.</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5.3 여덟 항목·대응 경로(B1025~B1035)</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19</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17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〔40초.</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〔45초.</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시간</w:t>
            </w:r>
          </w:p>
        </w:tc>
      </w:tr>
    </w:tbl>
    <w:p>
      <w:pPr>
        <w:pStyle w:val="Heading1"/>
        <w:spacing w:after="120" w:before="200"/>
      </w:pPr>
      <w:r>
        <w:rPr>
          <w:rFonts w:ascii="맑은 고딕" w:cs="맑은 고딕" w:eastAsia="맑은 고딕" w:hAnsi="맑은 고딕"/>
          <w:b/>
          <w:bCs/>
          <w:sz w:val="28"/>
          <w:szCs w:val="28"/>
        </w:rPr>
        <w:t xml:space="preserve">3. 바뀐 장 비교 그림</w:t>
      </w:r>
    </w:p>
    <w:p>
      <w:pPr>
        <w:spacing w:after="40"/>
      </w:pPr>
      <w:r>
        <w:rPr>
          <w:rFonts w:ascii="맑은 고딕" w:cs="맑은 고딕" w:eastAsia="맑은 고딕" w:hAnsi="맑은 고딕"/>
          <w:b/>
          <w:bCs/>
          <w:sz w:val="18"/>
          <w:szCs w:val="18"/>
        </w:rPr>
        <w:t xml:space="preserve">v29 슬라이드 6 — 왼쪽 v29, 오른쪽 v29a</w:t>
      </w:r>
    </w:p>
    <w:p>
      <w:pPr>
        <w:spacing w:after="160"/>
      </w:pPr>
      <w:r>
        <w:drawing>
          <wp:inline distT="0" distB="0" distL="0" distR="0">
            <wp:extent cx="8953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953500" cy="3124200"/>
                    </a:xfrm>
                    <a:prstGeom prst="rect">
                      <a:avLst/>
                    </a:prstGeom>
                  </pic:spPr>
                </pic:pic>
              </a:graphicData>
            </a:graphic>
          </wp:inline>
        </w:drawing>
      </w:r>
    </w:p>
    <w:p>
      <w:pPr>
        <w:spacing w:after="40"/>
      </w:pPr>
      <w:r>
        <w:rPr>
          <w:rFonts w:ascii="맑은 고딕" w:cs="맑은 고딕" w:eastAsia="맑은 고딕" w:hAnsi="맑은 고딕"/>
          <w:b/>
          <w:bCs/>
          <w:sz w:val="18"/>
          <w:szCs w:val="18"/>
        </w:rPr>
        <w:t xml:space="preserve">v29 슬라이드 9 — 왼쪽 v29, 오른쪽 v29a</w:t>
      </w:r>
    </w:p>
    <w:p>
      <w:pPr>
        <w:spacing w:after="160"/>
      </w:pPr>
      <w:r>
        <w:drawing>
          <wp:inline distT="0" distB="0" distL="0" distR="0">
            <wp:extent cx="8953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953500" cy="3124200"/>
                    </a:xfrm>
                    <a:prstGeom prst="rect">
                      <a:avLst/>
                    </a:prstGeom>
                  </pic:spPr>
                </pic:pic>
              </a:graphicData>
            </a:graphic>
          </wp:inline>
        </w:drawing>
      </w:r>
    </w:p>
    <w:p>
      <w:pPr>
        <w:spacing w:after="40"/>
      </w:pPr>
      <w:r>
        <w:rPr>
          <w:rFonts w:ascii="맑은 고딕" w:cs="맑은 고딕" w:eastAsia="맑은 고딕" w:hAnsi="맑은 고딕"/>
          <w:b/>
          <w:bCs/>
          <w:sz w:val="18"/>
          <w:szCs w:val="18"/>
        </w:rPr>
        <w:t xml:space="preserve">v29 슬라이드 10 — 왼쪽 v29, 오른쪽 v29a</w:t>
      </w:r>
    </w:p>
    <w:p>
      <w:pPr>
        <w:spacing w:after="160"/>
      </w:pPr>
      <w:r>
        <w:drawing>
          <wp:inline distT="0" distB="0" distL="0" distR="0">
            <wp:extent cx="8953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953500" cy="3124200"/>
                    </a:xfrm>
                    <a:prstGeom prst="rect">
                      <a:avLst/>
                    </a:prstGeom>
                  </pic:spPr>
                </pic:pic>
              </a:graphicData>
            </a:graphic>
          </wp:inline>
        </w:drawing>
      </w:r>
    </w:p>
    <w:p>
      <w:pPr>
        <w:spacing w:after="40"/>
      </w:pPr>
      <w:r>
        <w:rPr>
          <w:rFonts w:ascii="맑은 고딕" w:cs="맑은 고딕" w:eastAsia="맑은 고딕" w:hAnsi="맑은 고딕"/>
          <w:b/>
          <w:bCs/>
          <w:sz w:val="18"/>
          <w:szCs w:val="18"/>
        </w:rPr>
        <w:t xml:space="preserve">v29 슬라이드 11 — 왼쪽 v29, 오른쪽 v29a</w:t>
      </w:r>
    </w:p>
    <w:p>
      <w:pPr>
        <w:spacing w:after="160"/>
      </w:pPr>
      <w:r>
        <w:drawing>
          <wp:inline distT="0" distB="0" distL="0" distR="0">
            <wp:extent cx="8953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953500" cy="3124200"/>
                    </a:xfrm>
                    <a:prstGeom prst="rect">
                      <a:avLst/>
                    </a:prstGeom>
                  </pic:spPr>
                </pic:pic>
              </a:graphicData>
            </a:graphic>
          </wp:inline>
        </w:drawing>
      </w:r>
    </w:p>
    <w:p>
      <w:pPr>
        <w:spacing w:after="40"/>
      </w:pPr>
      <w:r>
        <w:rPr>
          <w:rFonts w:ascii="맑은 고딕" w:cs="맑은 고딕" w:eastAsia="맑은 고딕" w:hAnsi="맑은 고딕"/>
          <w:b/>
          <w:bCs/>
          <w:sz w:val="18"/>
          <w:szCs w:val="18"/>
        </w:rPr>
        <w:t xml:space="preserve">v29 슬라이드 12 — 왼쪽 v29, 오른쪽 v29a</w:t>
      </w:r>
    </w:p>
    <w:p>
      <w:pPr>
        <w:spacing w:after="160"/>
      </w:pPr>
      <w:r>
        <w:drawing>
          <wp:inline distT="0" distB="0" distL="0" distR="0">
            <wp:extent cx="8953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953500" cy="3124200"/>
                    </a:xfrm>
                    <a:prstGeom prst="rect">
                      <a:avLst/>
                    </a:prstGeom>
                  </pic:spPr>
                </pic:pic>
              </a:graphicData>
            </a:graphic>
          </wp:inline>
        </w:drawing>
      </w:r>
    </w:p>
    <w:p>
      <w:pPr>
        <w:spacing w:after="40"/>
      </w:pPr>
      <w:r>
        <w:rPr>
          <w:rFonts w:ascii="맑은 고딕" w:cs="맑은 고딕" w:eastAsia="맑은 고딕" w:hAnsi="맑은 고딕"/>
          <w:b/>
          <w:bCs/>
          <w:sz w:val="18"/>
          <w:szCs w:val="18"/>
        </w:rPr>
        <w:t xml:space="preserve">v29 슬라이드 15 — 왼쪽 v29, 오른쪽 v29a</w:t>
      </w:r>
    </w:p>
    <w:p>
      <w:pPr>
        <w:spacing w:after="160"/>
      </w:pPr>
      <w:r>
        <w:drawing>
          <wp:inline distT="0" distB="0" distL="0" distR="0">
            <wp:extent cx="8953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953500" cy="3124200"/>
                    </a:xfrm>
                    <a:prstGeom prst="rect">
                      <a:avLst/>
                    </a:prstGeom>
                  </pic:spPr>
                </pic:pic>
              </a:graphicData>
            </a:graphic>
          </wp:inline>
        </w:drawing>
      </w:r>
    </w:p>
    <w:p>
      <w:pPr>
        <w:pStyle w:val="Heading1"/>
        <w:spacing w:after="120" w:before="200"/>
      </w:pPr>
      <w:r>
        <w:rPr>
          <w:rFonts w:ascii="맑은 고딕" w:cs="맑은 고딕" w:eastAsia="맑은 고딕" w:hAnsi="맑은 고딕"/>
          <w:b/>
          <w:bCs/>
          <w:sz w:val="28"/>
          <w:szCs w:val="28"/>
        </w:rPr>
        <w:t xml:space="preserve">4. 이사님 확인 사항</w:t>
      </w:r>
    </w:p>
    <w:p>
      <w:pPr>
        <w:spacing w:after="60"/>
      </w:pPr>
      <w:r>
        <w:rPr>
          <w:rFonts w:ascii="맑은 고딕" w:cs="맑은 고딕" w:eastAsia="맑은 고딕" w:hAnsi="맑은 고딕"/>
          <w:sz w:val="17"/>
          <w:szCs w:val="17"/>
        </w:rPr>
        <w:t xml:space="preserve">· 61번(D-2에 필수 체크포인트가 있는 이유)은 검토자가 약점으로 짚은 자리 — 부록 C D-2의 필수 두 항목을 한 번 읽어 두실 것.</w:t>
      </w:r>
    </w:p>
    <w:p>
      <w:pPr>
        <w:spacing w:after="60"/>
      </w:pPr>
      <w:r>
        <w:rPr>
          <w:rFonts w:ascii="맑은 고딕" w:cs="맑은 고딕" w:eastAsia="맑은 고딕" w:hAnsi="맑은 고딕"/>
          <w:sz w:val="17"/>
          <w:szCs w:val="17"/>
        </w:rPr>
        <w:t xml:space="preserve">· 7번 노트에서 PPDQM3·APDQM3는 입으로는 「국내 공공데이터 품질 연구」까지만 말해도 됨.</w:t>
      </w:r>
    </w:p>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8c9cf02dc471334674c60895803ccdf288da94b.png"/><Relationship Id="rId8" Type="http://schemas.openxmlformats.org/officeDocument/2006/relationships/image" Target="media/516dee54e8a0bad3597c1478453180b5368f5ba3.png"/><Relationship Id="rId9" Type="http://schemas.openxmlformats.org/officeDocument/2006/relationships/image" Target="media/668cc4c4529209bfef315d64a0361b24d65fb26d.png"/><Relationship Id="rId10" Type="http://schemas.openxmlformats.org/officeDocument/2006/relationships/image" Target="media/614fce5141cd6bc9c74b8a2b7b5779f70624e00f.png"/><Relationship Id="rId11" Type="http://schemas.openxmlformats.org/officeDocument/2006/relationships/image" Target="media/b9688132f09c179e8396912864f3b4ae3f582347.png"/><Relationship Id="rId12" Type="http://schemas.openxmlformats.org/officeDocument/2006/relationships/image" Target="media/3d0ba324065f3debf551b725f5a58c03216f00e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2026-10-14T05:08:07.053Z</dcterms:created>
  <dcterms:modified xsi:type="dcterms:W3CDTF">2026-10-14T05:08:07.055Z</dcterms:modified>
</cp:coreProperties>
</file>

<file path=docProps/custom.xml><?xml version="1.0" encoding="utf-8"?>
<Properties xmlns="http://schemas.openxmlformats.org/officeDocument/2006/custom-properties" xmlns:vt="http://schemas.openxmlformats.org/officeDocument/2006/docPropsVTypes"/>
</file>