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맑은 고딕" w:cs="맑은 고딕" w:eastAsia="맑은 고딕" w:hAnsi="맑은 고딕"/>
          <w:b/>
          <w:bCs/>
          <w:sz w:val="36"/>
          <w:szCs w:val="36"/>
        </w:rPr>
        <w:t xml:space="preserve">대조표 — 발표 자료 v28 → v30 (15분판 — 원래 구성에 보태기, 본 19장)</w:t>
      </w:r>
    </w:p>
    <w:p>
      <w:pPr>
        <w:spacing w:after="120"/>
      </w:pPr>
      <w:r>
        <w:rPr>
          <w:rFonts w:ascii="맑은 고딕" w:cs="맑은 고딕" w:eastAsia="맑은 고딕" w:hAnsi="맑은 고딕"/>
          <w:sz w:val="18"/>
          <w:szCs w:val="18"/>
        </w:rPr>
        <w:t xml:space="preserve">발표자료_20261007_v28_15분판.pptx → v30_15분판.pptx (75장, 본 슬라이드 19장). 2026-10-14 세션 61. v29·v29a·v29b(논문 그림 중심 재구성)는 이사님 판단으로 폐기 — 「원래 것에 부족한 것을 보태는」 방식으로 v28에서 다시 만듦.</w:t>
      </w:r>
    </w:p>
    <w:p>
      <w:pPr>
        <w:pStyle w:val="Heading1"/>
        <w:spacing w:after="120" w:before="200"/>
      </w:pPr>
      <w:r>
        <w:rPr>
          <w:rFonts w:ascii="맑은 고딕" w:cs="맑은 고딕" w:eastAsia="맑은 고딕" w:hAnsi="맑은 고딕"/>
          <w:b/>
          <w:bCs/>
          <w:sz w:val="28"/>
          <w:szCs w:val="28"/>
        </w:rPr>
        <w:t xml:space="preserve">1. 원칙</w:t>
      </w:r>
    </w:p>
    <w:p>
      <w:pPr>
        <w:spacing w:after="60"/>
      </w:pPr>
      <w:r>
        <w:rPr>
          <w:rFonts w:ascii="맑은 고딕" w:cs="맑은 고딕" w:eastAsia="맑은 고딕" w:hAnsi="맑은 고딕"/>
          <w:sz w:val="17"/>
          <w:szCs w:val="17"/>
        </w:rPr>
        <w:t xml:space="preserve">· 이사님 10/14 — 「원래 것(v28)에 부족한 것을 조금 더 보태자」. v29 계열(장마다 논문 그림, 본 19장 재구성)은 개요·16종·연계 지점 맵·장단점·한계·결론이 빠져 더 어려워졌다는 판단으로 쓰지 않음. v28의 18장은 전부 그대로 두고 아래만 보탬.</w:t>
      </w:r>
    </w:p>
    <w:p>
      <w:pPr>
        <w:spacing w:after="60"/>
      </w:pPr>
      <w:r>
        <w:rPr>
          <w:rFonts w:ascii="맑은 고딕" w:cs="맑은 고딕" w:eastAsia="맑은 고딕" w:hAnsi="맑은 고딕"/>
          <w:sz w:val="17"/>
          <w:szCs w:val="17"/>
        </w:rPr>
        <w:t xml:space="preserve">· 보탠 것 ① 2장 한 장 — 백업 S-5 「두 표준에서 서로 비어 있는 곳」을 본 6번으로 복귀(장 표시 Ⅱ, 노트에 「가져온 방법·선행연구의 빈 자리」 한 문장 추가) ② 매핑(7)과 LMA 구성(8)의 순서를 바꾸고 매핑에 30개 조항·25개의 한 줄, LMA 장은 세 모델에 집중 ③ 2번 목차의 진행 안내 상자 삭제, 노트의 「다음 장에서 보겠습니다」류 전부 삭제.</w:t>
      </w:r>
    </w:p>
    <w:p>
      <w:pPr>
        <w:spacing w:after="60"/>
      </w:pPr>
      <w:r>
        <w:rPr>
          <w:rFonts w:ascii="맑은 고딕" w:cs="맑은 고딕" w:eastAsia="맑은 고딕" w:hAnsi="맑은 고딕"/>
          <w:sz w:val="17"/>
          <w:szCs w:val="17"/>
        </w:rPr>
        <w:t xml:space="preserve">· 검토자(1명) 지적 반영 — 장단점 장의 단점을 논문대로 7건으로 나누고 「넷은 보완·셋은 설계 제약」(5.2) · 「ML4 핵심 문항 모두 4점 이상」 · 「조항 25개(전조항 28개 가운데)」 · 「추가 항목(should 또는 체계화·지속 상태)」 · 「문서 심사 — 면담·실행 상태의 현장 관찰은 포함하지 않음」 · 「구조적 미비 세 가지와 공통 원인 두 가지에서 과제 다섯 건」 · 「중대한 환경측면을 결정하고」 · 「연계가 성립하지 않은 것과 성숙도가 낮은 것」 · 「LCA 연 1회 재수행 규정은 있으나 아직 이행 전」 · 2장 노트 「되풀이하여 관리하는 주기」(논문 고정 문구). 노트북 예상 질문 54~63 추가, Q37·Q39 답 정정.</w:t>
      </w:r>
    </w:p>
    <w:p>
      <w:pPr>
        <w:spacing w:after="60"/>
      </w:pPr>
      <w:r>
        <w:rPr>
          <w:rFonts w:ascii="맑은 고딕" w:cs="맑은 고딕" w:eastAsia="맑은 고딕" w:hAnsi="맑은 고딕"/>
          <w:sz w:val="17"/>
          <w:szCs w:val="17"/>
        </w:rPr>
        <w:t xml:space="preserve">· 본 19장 노트 합계 17분 50초(v28 16분 10초 + 2장 1분 10초 + 매핑 20초 + 개요 10초) — 「15분 내외」보다 길어 리허설에서 3번(1분 30초)·7번(1분 30초)·14번(1분 20초)에서 10초씩 줄일 후보. 규칙표 v18 0건, 전체 75장 그대로(S-5가 본으로 가서 S 블록은 11장).</w:t>
      </w:r>
    </w:p>
    <w:p>
      <w:pPr>
        <w:pStyle w:val="Heading1"/>
        <w:spacing w:after="120" w:before="200"/>
      </w:pPr>
      <w:r>
        <w:rPr>
          <w:rFonts w:ascii="맑은 고딕" w:cs="맑은 고딕" w:eastAsia="맑은 고딕" w:hAnsi="맑은 고딕"/>
          <w:b/>
          <w:bCs/>
          <w:sz w:val="28"/>
          <w:szCs w:val="28"/>
        </w:rPr>
        <w:t xml:space="preserve">2. 바뀐 곳</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600"/>
        <w:gridCol w:w="1300"/>
        <w:gridCol w:w="5000"/>
        <w:gridCol w:w="5600"/>
        <w:gridCol w:w="2898"/>
      </w:tblGrid>
      <w:tr>
        <w:trPr>
          <w:tblHeader/>
        </w:trPr>
        <w:tc>
          <w:tcPr>
            <w:tcW w:type="dxa" w:w="600"/>
            <w:tcBorders>
              <w:top w:val="single" w:color="A6B0C3" w:sz="4"/>
              <w:left w:val="single" w:color="A6B0C3" w:sz="4"/>
              <w:bottom w:val="single" w:color="A6B0C3" w:sz="4"/>
              <w:right w:val="single" w:color="A6B0C3" w:sz="4"/>
            </w:tcBorders>
            <w:shd w:fill="1F3864" w:color="auto" w:val="clear"/>
            <w:tcMar>
              <w:top w:type="dxa" w:w="40"/>
              <w:left w:type="dxa" w:w="70"/>
              <w:bottom w:type="dxa" w:w="40"/>
              <w:right w:type="dxa" w:w="70"/>
            </w:tcMar>
          </w:tcPr>
          <w:p>
            <w:pPr>
              <w:spacing w:after="30"/>
            </w:pPr>
            <w:r>
              <w:rPr>
                <w:rFonts w:ascii="맑은 고딕" w:cs="맑은 고딕" w:eastAsia="맑은 고딕" w:hAnsi="맑은 고딕"/>
                <w:b/>
                <w:bCs/>
                <w:color w:val="FFFFFF"/>
                <w:sz w:val="16"/>
                <w:szCs w:val="16"/>
              </w:rPr>
              <w:t xml:space="preserve">#</w:t>
            </w:r>
          </w:p>
        </w:tc>
        <w:tc>
          <w:tcPr>
            <w:tcW w:type="dxa" w:w="1300"/>
            <w:tcBorders>
              <w:top w:val="single" w:color="A6B0C3" w:sz="4"/>
              <w:left w:val="single" w:color="A6B0C3" w:sz="4"/>
              <w:bottom w:val="single" w:color="A6B0C3" w:sz="4"/>
              <w:right w:val="single" w:color="A6B0C3" w:sz="4"/>
            </w:tcBorders>
            <w:shd w:fill="1F3864" w:color="auto" w:val="clear"/>
            <w:tcMar>
              <w:top w:type="dxa" w:w="40"/>
              <w:left w:type="dxa" w:w="70"/>
              <w:bottom w:type="dxa" w:w="40"/>
              <w:right w:type="dxa" w:w="70"/>
            </w:tcMar>
          </w:tcPr>
          <w:p>
            <w:pPr>
              <w:spacing w:after="30"/>
            </w:pPr>
            <w:r>
              <w:rPr>
                <w:rFonts w:ascii="맑은 고딕" w:cs="맑은 고딕" w:eastAsia="맑은 고딕" w:hAnsi="맑은 고딕"/>
                <w:b/>
                <w:bCs/>
                <w:color w:val="FFFFFF"/>
                <w:sz w:val="16"/>
                <w:szCs w:val="16"/>
              </w:rPr>
              <w:t xml:space="preserve">슬라이드(옛 번호)</w:t>
            </w:r>
          </w:p>
        </w:tc>
        <w:tc>
          <w:tcPr>
            <w:tcW w:type="dxa" w:w="5000"/>
            <w:tcBorders>
              <w:top w:val="single" w:color="A6B0C3" w:sz="4"/>
              <w:left w:val="single" w:color="A6B0C3" w:sz="4"/>
              <w:bottom w:val="single" w:color="A6B0C3" w:sz="4"/>
              <w:right w:val="single" w:color="A6B0C3" w:sz="4"/>
            </w:tcBorders>
            <w:shd w:fill="1F3864" w:color="auto" w:val="clear"/>
            <w:tcMar>
              <w:top w:type="dxa" w:w="40"/>
              <w:left w:type="dxa" w:w="70"/>
              <w:bottom w:type="dxa" w:w="40"/>
              <w:right w:type="dxa" w:w="70"/>
            </w:tcMar>
          </w:tcPr>
          <w:p>
            <w:pPr>
              <w:spacing w:after="30"/>
            </w:pPr>
            <w:r>
              <w:rPr>
                <w:rFonts w:ascii="맑은 고딕" w:cs="맑은 고딕" w:eastAsia="맑은 고딕" w:hAnsi="맑은 고딕"/>
                <w:b/>
                <w:bCs/>
                <w:color w:val="FFFFFF"/>
                <w:sz w:val="16"/>
                <w:szCs w:val="16"/>
              </w:rPr>
              <w:t xml:space="preserve">항목</w:t>
            </w:r>
          </w:p>
        </w:tc>
        <w:tc>
          <w:tcPr>
            <w:tcW w:type="dxa" w:w="5600"/>
            <w:tcBorders>
              <w:top w:val="single" w:color="A6B0C3" w:sz="4"/>
              <w:left w:val="single" w:color="A6B0C3" w:sz="4"/>
              <w:bottom w:val="single" w:color="A6B0C3" w:sz="4"/>
              <w:right w:val="single" w:color="A6B0C3" w:sz="4"/>
            </w:tcBorders>
            <w:shd w:fill="1F3864" w:color="auto" w:val="clear"/>
            <w:tcMar>
              <w:top w:type="dxa" w:w="40"/>
              <w:left w:type="dxa" w:w="70"/>
              <w:bottom w:type="dxa" w:w="40"/>
              <w:right w:type="dxa" w:w="70"/>
            </w:tcMar>
          </w:tcPr>
          <w:p>
            <w:pPr>
              <w:spacing w:after="30"/>
            </w:pPr>
            <w:r>
              <w:rPr>
                <w:rFonts w:ascii="맑은 고딕" w:cs="맑은 고딕" w:eastAsia="맑은 고딕" w:hAnsi="맑은 고딕"/>
                <w:b/>
                <w:bCs/>
                <w:color w:val="FFFFFF"/>
                <w:sz w:val="16"/>
                <w:szCs w:val="16"/>
              </w:rPr>
              <w:t xml:space="preserve">v28 → v30</w:t>
            </w:r>
          </w:p>
        </w:tc>
        <w:tc>
          <w:tcPr>
            <w:tcW w:type="dxa" w:w="2898"/>
            <w:tcBorders>
              <w:top w:val="single" w:color="A6B0C3" w:sz="4"/>
              <w:left w:val="single" w:color="A6B0C3" w:sz="4"/>
              <w:bottom w:val="single" w:color="A6B0C3" w:sz="4"/>
              <w:right w:val="single" w:color="A6B0C3" w:sz="4"/>
            </w:tcBorders>
            <w:shd w:fill="1F3864" w:color="auto" w:val="clear"/>
            <w:tcMar>
              <w:top w:type="dxa" w:w="40"/>
              <w:left w:type="dxa" w:w="70"/>
              <w:bottom w:type="dxa" w:w="40"/>
              <w:right w:type="dxa" w:w="70"/>
            </w:tcMar>
          </w:tcPr>
          <w:p>
            <w:pPr>
              <w:spacing w:after="30"/>
            </w:pPr>
            <w:r>
              <w:rPr>
                <w:rFonts w:ascii="맑은 고딕" w:cs="맑은 고딕" w:eastAsia="맑은 고딕" w:hAnsi="맑은 고딕"/>
                <w:b/>
                <w:bCs/>
                <w:color w:val="FFFFFF"/>
                <w:sz w:val="16"/>
                <w:szCs w:val="16"/>
              </w:rPr>
              <w:t xml:space="preserve">이유</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2→2 [22] 삭제</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오늘은 모델의 뼈대와 적용 결과를 중심으로 말씀드리고, 조항별 판정과 문항 전문은 부록에 두었습니다.</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(삭제)</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이사님 10/14 — 화면의 진행 안내 삭제</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2</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2→2 발표 노트(전체)</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발표는 논문의 장 순서대로 하겠습니다. 1장 왜 이 연구인가, 2장 무엇을 바탕으로 하였는가, 3장 무엇을 만들었는가, 4장 적용하면 어떻게 되고 무엇을 고치는가, 5장 결론입니다.</w:t>
            </w:r>
          </w:p>
          <w:p>
            <w:pPr>
              <w:spacing w:after="30"/>
            </w:pPr>
            <w:r>
              <w:rPr>
                <w:rFonts w:ascii="맑은 고딕" w:cs="맑은 고딕" w:eastAsia="맑은 고딕" w:hAnsi="맑은 고딕"/>
                <w:color w:val="7F7F7F"/>
                <w:sz w:val="15"/>
                <w:szCs w:val="15"/>
              </w:rPr>
              <w:t xml:space="preserve">3장이 판정의 기준을 만드는 장이고, 4장은 그 기준을 바꾸지 않고 한 기업에 적용한 결과와 개선 과제를 다룹니다. 시간이 15분이라 2장 학술적 배경은 다음 장의 요약에서 함께 말씀드리고, 세부는 질문 때 보여 드리겠습니다.</w:t>
            </w:r>
          </w:p>
          <w:p>
            <w:pPr>
              <w:spacing w:after="30"/>
            </w:pPr>
            <w:r>
              <w:rPr>
                <w:rFonts w:ascii="맑은 고딕" w:cs="맑은 고딕" w:eastAsia="맑은 고딕" w:hAnsi="맑은 고딕"/>
                <w:color w:val="7F7F7F"/>
                <w:sz w:val="15"/>
                <w:szCs w:val="15"/>
              </w:rPr>
              <w:t xml:space="preserve">〔15초. 숫자(16종·55문항·2.85·ML2·3.15)는 4번에서. 화면에서 뺀 세부 — Ⅰ(1장) 이 연구를 한 장으로 · 두 표준에서 서로 비어 있는 곳 · 「LCA를 했다」의 두 상태 · 연구 목적과 연구 문제 / Ⅱ(2장) ISO 14001과 전과정 관점 · LCA의 4단계 · 따른 표준 · 선행연구와 연구 공백 / Ⅲ(3장) LMA 세 계층 · 조항 매핑 · 연계 지점 · 16종 · 55문항과 채점 기준 · 판정 규칙과 핵심 문항 · 한 장 요약과 검증 · 반복 개발 / Ⅳ(4장) 평가를 한 그림으로 · 객관성의 확보 · 영역별 결과 · 종합 판정 ML2 · 결과 요약 / Ⅴ(4.6) 개선 과제 R1~R5 · 개선 로드맵과 재평가 · 장점과 단점, 한계 / 결론(5장) 연구 전체 한 장 요약〕</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논문의 장 순서대로, 1장 왜 이 연구인가, 2장 무엇을 바탕으로 하였는가, 3장 무엇을 만들었는가, 4장 적용하면 어떻게 되고 무엇을 고치는가, 5장 결론입니다.</w:t>
            </w:r>
          </w:p>
          <w:p>
            <w:pPr>
              <w:spacing w:after="30"/>
            </w:pPr>
            <w:r>
              <w:rPr>
                <w:rFonts w:ascii="맑은 고딕" w:cs="맑은 고딕" w:eastAsia="맑은 고딕" w:hAnsi="맑은 고딕"/>
                <w:sz w:val="16"/>
                <w:szCs w:val="16"/>
              </w:rPr>
              <w:t xml:space="preserve">〔15초. 진행 안내는 말하지 않는다. 세부는 구분 슬라이드 뒤 백업.〕</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진행 안내 삭제</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3</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4→4 발표 노트</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먼저 이 연구를 한 장으로 말씀드리겠습니다.</w:t>
            </w:r>
          </w:p>
          <w:p>
            <w:pPr>
              <w:spacing w:after="30"/>
            </w:pPr>
            <w:r>
              <w:rPr>
                <w:rFonts w:ascii="맑은 고딕" w:cs="맑은 고딕" w:eastAsia="맑은 고딕" w:hAnsi="맑은 고딕"/>
                <w:color w:val="7F7F7F"/>
                <w:sz w:val="15"/>
                <w:szCs w:val="15"/>
              </w:rPr>
              <w:t xml:space="preserve"/>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진행 안내 삭제</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4</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5→5 발표 노트</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중대한 환경측면을 정하고</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중대한 환경측면을 결정하고</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논문 용어 「결정」</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5</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20→6 [3]</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백업  S-5 (본심사판 5번)</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Ⅱ. 학술적 배경 — 무엇을 바탕으로</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백업 → 본(2장)</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6</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20→6 [7]</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근거  1.1, 2.3, [표 2-3], 2.2.1</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근거  2.1~2.5, [표 2-3], [그림 2-7]</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2장</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7</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20→6 발표 노트(전체)</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ISO 14001은 환경측면의 결정에서 전과정 관점을 고려하도록 요구하되 정량적 평가 방법을 정하지 않았고, 전과정평가(LCA) 표준인 ISO 14044는 계산 방법을 정하되 언제 다시 할지는 정하지 않았습니다. 두 표준은 서로 비어 있는 곳을 상대가 채울 수 있습니다.</w:t>
            </w:r>
          </w:p>
          <w:p>
            <w:pPr>
              <w:spacing w:after="30"/>
            </w:pPr>
            <w:r>
              <w:rPr>
                <w:rFonts w:ascii="맑은 고딕" w:cs="맑은 고딕" w:eastAsia="맑은 고딕" w:hAnsi="맑은 고딕"/>
                <w:color w:val="7F7F7F"/>
                <w:sz w:val="15"/>
                <w:szCs w:val="15"/>
              </w:rPr>
              <w:t xml:space="preserve">아래 두 수치로 규모의 차이를 보실 수 있습니다. 환경경영시스템(ISO 14001) 유효 인증은 국내 28,137건으로 세계 2위이고, LCA 수행을 전제하는 환경성적표지 유효 인증은 707개 기업입니다. 두 체계를 함께 운영하는 조직은 아직 제한적입니다.</w:t>
            </w:r>
          </w:p>
          <w:p>
            <w:pPr>
              <w:spacing w:after="30"/>
            </w:pPr>
            <w:r>
              <w:rPr>
                <w:rFonts w:ascii="맑은 고딕" w:cs="맑은 고딕" w:eastAsia="맑은 고딕" w:hAnsi="맑은 고딕"/>
                <w:color w:val="7F7F7F"/>
                <w:sz w:val="15"/>
                <w:szCs w:val="15"/>
              </w:rPr>
              <w:t xml:space="preserve">그런데 「LCA를 했다」는 말은 두 가지 상태를 가립니다. 다음 장에서 말씀드리겠습니다.</w:t>
            </w:r>
          </w:p>
          <w:p>
            <w:pPr>
              <w:spacing w:after="30"/>
            </w:pPr>
            <w:r>
              <w:rPr>
                <w:rFonts w:ascii="맑은 고딕" w:cs="맑은 고딕" w:eastAsia="맑은 고딕" w:hAnsi="맑은 고딕"/>
                <w:color w:val="7F7F7F"/>
                <w:sz w:val="15"/>
                <w:szCs w:val="15"/>
              </w:rPr>
              <w:t xml:space="preserve">〔1분 10초〕</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2장은 두 표준과 그 사이입니다. ISO 14001은 환경측면의 결정에서 전과정 관점을 고려하도록 요구하되 정량적 평가 방법을 정하지 않았고, 전과정평가(LCA) 표준인 ISO 14044는 계산 방법을 정하되 그 결과를 되풀이하여 관리하는 주기는 정하지 않았습니다. 두 표준은 서로 비어 있는 곳을 상대가 채울 수 있습니다.</w:t>
            </w:r>
          </w:p>
          <w:p>
            <w:pPr>
              <w:spacing w:after="30"/>
            </w:pPr>
            <w:r>
              <w:rPr>
                <w:rFonts w:ascii="맑은 고딕" w:cs="맑은 고딕" w:eastAsia="맑은 고딕" w:hAnsi="맑은 고딕"/>
                <w:sz w:val="16"/>
                <w:szCs w:val="16"/>
              </w:rPr>
              <w:t xml:space="preserve">아래 두 수치로 규모의 차이를 보실 수 있습니다. 환경경영시스템(ISO 14001) 유효 인증은 국내 28,137건으로 세계 2위이고, LCA 수행을 전제하는 환경성적표지 유효 인증은 707개 기업입니다. 두 체계를 함께 운영하는 조직은 아직 제한적입니다.</w:t>
            </w:r>
          </w:p>
          <w:p>
            <w:pPr>
              <w:spacing w:after="30"/>
            </w:pPr>
            <w:r>
              <w:rPr>
                <w:rFonts w:ascii="맑은 고딕" w:cs="맑은 고딕" w:eastAsia="맑은 고딕" w:hAnsi="맑은 고딕"/>
                <w:sz w:val="16"/>
                <w:szCs w:val="16"/>
              </w:rPr>
              <w:t xml:space="preserve">성숙도를 평가하는 방법은 새로 만들지 않고 소프트웨어·데이터 분야에서 쓰던 국제표준에서 가져왔고, 두 표준의 연계 정도를 조항 단위로 판정한 선행연구는 찾아보기 어려웠습니다. 그 빈 자리가 이 연구의 위치입니다.</w:t>
            </w:r>
          </w:p>
          <w:p>
            <w:pPr>
              <w:spacing w:after="30"/>
            </w:pPr>
            <w:r>
              <w:rPr>
                <w:rFonts w:ascii="맑은 고딕" w:cs="맑은 고딕" w:eastAsia="맑은 고딕" w:hAnsi="맑은 고딕"/>
                <w:sz w:val="16"/>
                <w:szCs w:val="16"/>
              </w:rPr>
              <w:t xml:space="preserve">〔1분 10초. 가져온 것 — 세 계층 구조 ISO/IEC 33004 · 최소충족·비보상 판정 KS X ISO 8000-62 · 측정 틀 ISO/IEC 33020, 점수별 상태 기술 BARS. 선례 — 국내 공공데이터 연구(PPDQM3·APDQM3). 따른 표준은 백업 S-10, 선행연구 대비표 [표 2-4]·[표 2-5]·[그림 2-7]은 S-11, ISO 14001 구조 S-8, LCA 4단계 S-9, 연계의 성숙도 수준 [그림 2-5]는 2.3. 「8000-62를 왜 가져왔나」 → B-Q7.〕</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2장 한 장 — 선행연구 한 문장 보탬, 진행 안내 삭제</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8</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7→7 제목</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두 표준의 조항 매핑</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두 표준의 조항 매핑 — 30개 조항과 25개</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30·25</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9</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7→7 [5]</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 조항마다 같은 물음을 물어 연계 가능성을 네 등급으로 판정하였다.</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 두 표준의 shall·should 문장을 전부 대조하고, 조항마다 같은 네 가지 질문으로 네 가지 등급을 판정하였다.</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요지</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10</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7→7 [7]</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근거  3.2.2, [표 3-2], 부록 A·B.1</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근거  3.2.2, 3.3.1, [표 3-2], 부록 A.1·A.2·A.4</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근거</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11</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7→7 [27]</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ISO 14001 30개 조항(7.4.1~7.4.3은 7.4로 통합)을 전부 판정 — 55문항 중 44는 ISO 14001 조항에, 11은 ISO 14044 고유 요건에 대응. 조항별 판정 전문은 백업 B-1(흐름)·B-1a(등급표)·부록 A</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ISO 14001 — 요구사항 조항 30개 전부가 문항이 됨   ·   ISO 14044 — 조항 25개가 문항의 근거(나머지 3개도 세부 조항의 문항·체크포인트로 반영) → 빠진 조항 없음. 셈은 부록 A.4</w:t>
            </w:r>
          </w:p>
          <w:p>
            <w:pPr>
              <w:spacing w:after="30"/>
            </w:pPr>
            <w:r>
              <w:rPr>
                <w:rFonts w:ascii="맑은 고딕" w:cs="맑은 고딕" w:eastAsia="맑은 고딕" w:hAnsi="맑은 고딕"/>
                <w:sz w:val="16"/>
                <w:szCs w:val="16"/>
              </w:rPr>
              <w:t xml:space="preserve">매우 높음 4개 조항 = 핵심 문항 4종(P-9·P-14·D-1·C-1) — 관리 주기의 계획 둘·실행 하나·점검 하나</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30·25·핵심 4(셈은 지시문·노트북)</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12</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7→7 발표 노트(전체)</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ISO 14001의 모든 조항, 서른 개에 같은 네 가지 질문을 같은 순서로 물었습니다. 전과정 관점을 요구하거나 그 결과를 직접 쓰는가, LCA 없이는 의무를 다 지킬 수 없는가, LCA 결과가 주요 입력인가, 보조 정보라도 주는가입니다.</w:t>
            </w:r>
          </w:p>
          <w:p>
            <w:pPr>
              <w:spacing w:after="30"/>
            </w:pPr>
            <w:r>
              <w:rPr>
                <w:rFonts w:ascii="맑은 고딕" w:cs="맑은 고딕" w:eastAsia="맑은 고딕" w:hAnsi="맑은 고딕"/>
                <w:color w:val="7F7F7F"/>
                <w:sz w:val="15"/>
                <w:szCs w:val="15"/>
              </w:rPr>
              <w:t xml:space="preserve">「예」가 앞쪽 물음에서 나올수록 연계 가능성이 높고, 네 등급으로 판정했습니다. 매우 높음이 네 개 조항, 환경측면 6.1.2, 환경목표 6.2.1, 운용기획 및 관리 8.1, 모니터링 9.1.1입니다. 높음이 열둘, 중간이 열, 낮음이 넷입니다.</w:t>
            </w:r>
          </w:p>
          <w:p>
            <w:pPr>
              <w:spacing w:after="30"/>
            </w:pPr>
            <w:r>
              <w:rPr>
                <w:rFonts w:ascii="맑은 고딕" w:cs="맑은 고딕" w:eastAsia="맑은 고딕" w:hAnsi="맑은 고딕"/>
                <w:color w:val="7F7F7F"/>
                <w:sz w:val="15"/>
                <w:szCs w:val="15"/>
              </w:rPr>
              <w:t xml:space="preserve">매핑의 결과가 연계 지점이고, 그 가운데 꼭 있어야 할 네 곳이 핵심 연계 지점으로 뒤의 핵심 문항 4종이 됩니다. 연계 지점을 업무 단위로 묶으면 연계 프로세스 열여섯 가지, 그 업무가 되어 있는지 묻는 것이 쉰다섯 문항입니다.</w:t>
            </w:r>
          </w:p>
          <w:p>
            <w:pPr>
              <w:spacing w:after="30"/>
            </w:pPr>
            <w:r>
              <w:rPr>
                <w:rFonts w:ascii="맑은 고딕" w:cs="맑은 고딕" w:eastAsia="맑은 고딕" w:hAnsi="맑은 고딕"/>
                <w:color w:val="7F7F7F"/>
                <w:sz w:val="15"/>
                <w:szCs w:val="15"/>
              </w:rPr>
              <w:t xml:space="preserve">이 네 조항이 두 표준의 관리 주기 어디에서 만나는지, 다음 장에서 보겠습니다.</w:t>
            </w:r>
          </w:p>
          <w:p>
            <w:pPr>
              <w:spacing w:after="30"/>
            </w:pPr>
            <w:r>
              <w:rPr>
                <w:rFonts w:ascii="맑은 고딕" w:cs="맑은 고딕" w:eastAsia="맑은 고딕" w:hAnsi="맑은 고딕"/>
                <w:color w:val="7F7F7F"/>
                <w:sz w:val="15"/>
                <w:szCs w:val="15"/>
              </w:rPr>
              <w:t xml:space="preserve">〔1분 10초. 「전조항을 매핑했는데 핵심은 4개뿐인가」 → 매핑(30조항) → 55문항·16종 → 연계 성립 지점 4곳. 등급별 판정 요건 전문은 백업 B-1a, 흐름은 B-1.〕</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3장의 출발은 매핑입니다. 두 표준의 의무와 권고 문장을 전부 대조했습니다.</w:t>
            </w:r>
          </w:p>
          <w:p>
            <w:pPr>
              <w:spacing w:after="30"/>
            </w:pPr>
            <w:r>
              <w:rPr>
                <w:rFonts w:ascii="맑은 고딕" w:cs="맑은 고딕" w:eastAsia="맑은 고딕" w:hAnsi="맑은 고딕"/>
                <w:sz w:val="16"/>
                <w:szCs w:val="16"/>
              </w:rPr>
              <w:t xml:space="preserve">ISO 14001은 요구사항 조항 서른 개가 모두 문항이 되었고, ISO 14044는 스물여덟 개 가운데 스물다섯 개가 문항의 근거가 되었으며 나머지 세 개도 세부 조항의 문항과 체크포인트로 들어가 빠진 조항은 없습니다.</w:t>
            </w:r>
          </w:p>
          <w:p>
            <w:pPr>
              <w:spacing w:after="30"/>
            </w:pPr>
            <w:r>
              <w:rPr>
                <w:rFonts w:ascii="맑은 고딕" w:cs="맑은 고딕" w:eastAsia="맑은 고딕" w:hAnsi="맑은 고딕"/>
                <w:sz w:val="16"/>
                <w:szCs w:val="16"/>
              </w:rPr>
              <w:t xml:space="preserve">서른 개 조항 하나하나에 같은 네 가지 질문을 같은 순서로 물어 네 가지 등급으로 판정했습니다. 매우 높음이 네 조항, 환경측면, 환경목표, 운용기획 및 관리, 모니터링입니다.</w:t>
            </w:r>
          </w:p>
          <w:p>
            <w:pPr>
              <w:spacing w:after="30"/>
            </w:pPr>
            <w:r>
              <w:rPr>
                <w:rFonts w:ascii="맑은 고딕" w:cs="맑은 고딕" w:eastAsia="맑은 고딕" w:hAnsi="맑은 고딕"/>
                <w:sz w:val="16"/>
                <w:szCs w:val="16"/>
              </w:rPr>
              <w:t xml:space="preserve">이 네 곳이 연계 지점이고 뒤의 핵심 문항 4종이 되며, 관리 주기의 계획에 둘, 실행과 점검에 하나씩 놓입니다.</w:t>
            </w:r>
          </w:p>
          <w:p>
            <w:pPr>
              <w:spacing w:after="30"/>
            </w:pPr>
            <w:r>
              <w:rPr>
                <w:rFonts w:ascii="맑은 고딕" w:cs="맑은 고딕" w:eastAsia="맑은 고딕" w:hAnsi="맑은 고딕"/>
                <w:sz w:val="16"/>
                <w:szCs w:val="16"/>
              </w:rPr>
              <w:t xml:space="preserve">〔1분 30초. 30 = 원표 34행에서 7.4.1~7.4.3을 하나로, 상위 조항 6.1·6.2 제외(3.2.2). 25·28 = 부록 A.4. 대조 대상은 shall·should — may·can은 제외(3.1.1). 55문항 근거 성격 shall 48·비교주장 시 조건부 shall 2·수행 시 조건부 shall 2·should 1·shall+should 2(3.3.1)는 노트북. 등급 요건은 B-1a, 흐름 B-1.〕</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이사님 10/14 문안</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13</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6→8 [5]</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 두 표준의 조항을 대조하여 업무 목록 → 채점표 → 수준 규칙의 순서로 만들었다.</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 매핑에서 연계 프로세스 16종을 도출하고, 그 성과를 55문항으로 평가하며, 점수를 성숙도 규칙으로 판정한다.</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요지</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14</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6→8 [8]</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환경경영시스템(ISO 14001)</w:t>
            </w:r>
          </w:p>
          <w:p>
            <w:pPr>
              <w:spacing w:after="30"/>
            </w:pPr>
            <w:r>
              <w:rPr>
                <w:rFonts w:ascii="맑은 고딕" w:cs="맑은 고딕" w:eastAsia="맑은 고딕" w:hAnsi="맑은 고딕"/>
                <w:color w:val="7F7F7F"/>
                <w:sz w:val="15"/>
                <w:szCs w:val="15"/>
              </w:rPr>
              <w:t xml:space="preserve">조항 30개 (4~10절)</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환경경영시스템(ISO 14001)</w:t>
            </w:r>
          </w:p>
          <w:p>
            <w:pPr>
              <w:spacing w:after="30"/>
            </w:pPr>
            <w:r>
              <w:rPr>
                <w:rFonts w:ascii="맑은 고딕" w:cs="맑은 고딕" w:eastAsia="맑은 고딕" w:hAnsi="맑은 고딕"/>
                <w:sz w:val="16"/>
                <w:szCs w:val="16"/>
              </w:rPr>
              <w:t xml:space="preserve">요구사항 조항 30개</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LMA</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15</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6→8 [9]</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전과정평가(LCA, ISO 14044)</w:t>
            </w:r>
          </w:p>
          <w:p>
            <w:pPr>
              <w:spacing w:after="30"/>
            </w:pPr>
            <w:r>
              <w:rPr>
                <w:rFonts w:ascii="맑은 고딕" w:cs="맑은 고딕" w:eastAsia="맑은 고딕" w:hAnsi="맑은 고딕"/>
                <w:color w:val="7F7F7F"/>
                <w:sz w:val="15"/>
                <w:szCs w:val="15"/>
              </w:rPr>
              <w:t xml:space="preserve">요구사항 (shall·should)</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전과정평가(LCA, ISO 14044)</w:t>
            </w:r>
          </w:p>
          <w:p>
            <w:pPr>
              <w:spacing w:after="30"/>
            </w:pPr>
            <w:r>
              <w:rPr>
                <w:rFonts w:ascii="맑은 고딕" w:cs="맑은 고딕" w:eastAsia="맑은 고딕" w:hAnsi="맑은 고딕"/>
                <w:sz w:val="16"/>
                <w:szCs w:val="16"/>
              </w:rPr>
              <w:t xml:space="preserve">조항 25개(전조항 28개 가운데)</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LMA</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16</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6→8 [11]</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매핑 — 조항을 하나하나 대응</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앞 장의 조항 매핑</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LMA</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17</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6→8 [12]</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맞닿는 곳 = 연계 지점 · 그 가운데 필수인 네 곳 = 핵심 연계 지점</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매핑의 결과 = 연계 지점 · 그 가운데 핵심 네 곳 → 세 모델의 재료</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LMA</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18</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6→8 [15]</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연계 프로세스 16종</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연계 프로세스 16종 — 계획 8 · 실행 2 · 점검 3 · 개선 3</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LMA</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19</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6→8 [20]</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업무마다 「되어 있는가」를 묻고, 확인 항목 개수로 1~5점</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프로세스의 성과 하나에 문항 하나 — 확인 항목 개수로 1~5점</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LMA</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20</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6→8 발표 노트(전체)</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만든 모델을 그림으로 말씀드리겠습니다.</w:t>
            </w:r>
          </w:p>
          <w:p>
            <w:pPr>
              <w:spacing w:after="30"/>
            </w:pPr>
            <w:r>
              <w:rPr>
                <w:rFonts w:ascii="맑은 고딕" w:cs="맑은 고딕" w:eastAsia="맑은 고딕" w:hAnsi="맑은 고딕"/>
                <w:color w:val="7F7F7F"/>
                <w:sz w:val="15"/>
                <w:szCs w:val="15"/>
              </w:rPr>
              <w:t xml:space="preserve">위는 두 표준입니다. ISO 14001의 조항 서른 개와 LCA의 요구사항을 하나하나 대응시켰습니다. 이것이 매핑입니다. 두 표준이 결합하는 곳이 연계 지점이고, 그 가운데 꼭 있어야 할 네 곳이 핵심 연계 지점입니다.</w:t>
            </w:r>
          </w:p>
          <w:p>
            <w:pPr>
              <w:spacing w:after="30"/>
            </w:pPr>
            <w:r>
              <w:rPr>
                <w:rFonts w:ascii="맑은 고딕" w:cs="맑은 고딕" w:eastAsia="맑은 고딕" w:hAnsi="맑은 고딕"/>
                <w:color w:val="7F7F7F"/>
                <w:sz w:val="15"/>
                <w:szCs w:val="15"/>
              </w:rPr>
              <w:t xml:space="preserve">아래가 만든 것 셋입니다. 첫째, 참조 모델은 평가할 업무 목록으로 열여섯 가지입니다. 둘째, 평가 모델은 채점표로 문항 쉰다섯 개와 점수 기준입니다. 셋째, 성숙도 모델은 점수를 여섯 수준으로 바꾸는 규칙이고, 핵심 문항 넷 가운데 하나라도 빠지면 ML2에서 멈춥니다.</w:t>
            </w:r>
          </w:p>
          <w:p>
            <w:pPr>
              <w:spacing w:after="30"/>
            </w:pPr>
            <w:r>
              <w:rPr>
                <w:rFonts w:ascii="맑은 고딕" w:cs="맑은 고딕" w:eastAsia="맑은 고딕" w:hAnsi="맑은 고딕"/>
                <w:color w:val="7F7F7F"/>
                <w:sz w:val="15"/>
                <w:szCs w:val="15"/>
              </w:rPr>
              <w:t xml:space="preserve">이 셋을 합쳐 연계 성숙도 평가 모델, 영문으로 Linkage Maturity Assessment, 줄여서 LMA라고 합니다.</w:t>
            </w:r>
          </w:p>
          <w:p>
            <w:pPr>
              <w:spacing w:after="30"/>
            </w:pPr>
            <w:r>
              <w:rPr>
                <w:rFonts w:ascii="맑은 고딕" w:cs="맑은 고딕" w:eastAsia="맑은 고딕" w:hAnsi="맑은 고딕"/>
                <w:color w:val="7F7F7F"/>
                <w:sz w:val="15"/>
                <w:szCs w:val="15"/>
              </w:rPr>
              <w:t xml:space="preserve">만든 뒤에는 두 방향으로 검증했습니다. 문항마다 어느 조항에서 왔는지 따라간 추적성 검증과, 국제표준 요건 24건을 자체점검한 표준 적합성 검증입니다.</w:t>
            </w:r>
          </w:p>
          <w:p>
            <w:pPr>
              <w:spacing w:after="30"/>
            </w:pPr>
            <w:r>
              <w:rPr>
                <w:rFonts w:ascii="맑은 고딕" w:cs="맑은 고딕" w:eastAsia="맑은 고딕" w:hAnsi="맑은 고딕"/>
                <w:color w:val="7F7F7F"/>
                <w:sz w:val="15"/>
                <w:szCs w:val="15"/>
              </w:rPr>
              <w:t xml:space="preserve">이제 하나씩 보겠습니다. 먼저 두 표준의 조항을 어떻게 대응시켰는지입니다.</w:t>
            </w:r>
          </w:p>
          <w:p>
            <w:pPr>
              <w:spacing w:after="30"/>
            </w:pPr>
            <w:r>
              <w:rPr>
                <w:rFonts w:ascii="맑은 고딕" w:cs="맑은 고딕" w:eastAsia="맑은 고딕" w:hAnsi="맑은 고딕"/>
                <w:color w:val="7F7F7F"/>
                <w:sz w:val="15"/>
                <w:szCs w:val="15"/>
              </w:rPr>
              <w:t xml:space="preserve">〔논문 [그림 3-2] 전체는 백업 B-7. 1분〕</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조항 매핑의 결과로 만든 것이 셋입니다.</w:t>
            </w:r>
          </w:p>
          <w:p>
            <w:pPr>
              <w:spacing w:after="30"/>
            </w:pPr>
            <w:r>
              <w:rPr>
                <w:rFonts w:ascii="맑은 고딕" w:cs="맑은 고딕" w:eastAsia="맑은 고딕" w:hAnsi="맑은 고딕"/>
                <w:sz w:val="16"/>
                <w:szCs w:val="16"/>
              </w:rPr>
              <w:t xml:space="preserve">첫째 참조 모델은 연계 지점을 업무 단위로 묶은 연계 프로세스 열여섯 가지로, 계획 여덟, 실행 둘, 점검 셋, 개선 셋입니다. 둘째 평가 모델은 프로세스의 성과 하나에 문항 하나씩 쉰다섯 문항이고, 문항마다 채점 기준과 확인할 증거를 정했습니다. 셋째 성숙도 모델은 점수를 여섯 수준으로 바꾸는 규칙이고, 핵심 문항 넷 가운데 하나라도 빠지면 ML2에서 멈춥니다.</w:t>
            </w:r>
          </w:p>
          <w:p>
            <w:pPr>
              <w:spacing w:after="30"/>
            </w:pPr>
            <w:r>
              <w:rPr>
                <w:rFonts w:ascii="맑은 고딕" w:cs="맑은 고딕" w:eastAsia="맑은 고딕" w:hAnsi="맑은 고딕"/>
                <w:sz w:val="16"/>
                <w:szCs w:val="16"/>
              </w:rPr>
              <w:t xml:space="preserve">이 셋을 합쳐 연계 성숙도 평가 모델, LMA라고 하며, 만든 뒤 추적성과 표준 적합성 두 방향으로 검증했습니다.</w:t>
            </w:r>
          </w:p>
          <w:p>
            <w:pPr>
              <w:spacing w:after="30"/>
            </w:pPr>
            <w:r>
              <w:rPr>
                <w:rFonts w:ascii="맑은 고딕" w:cs="맑은 고딕" w:eastAsia="맑은 고딕" w:hAnsi="맑은 고딕"/>
                <w:sz w:val="16"/>
                <w:szCs w:val="16"/>
              </w:rPr>
              <w:t xml:space="preserve">〔1분 10초. 논문 [그림 3-2] 전체는 백업 B-7, 방법론 구성 [그림 3-1]은 B-2. 검증 — 3.5.1 추적성, 3.5.2 ISO/IEC 33004 24건(충족 22·해당 없음 1·보완 1).〕</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이사님 10/14 문안</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21</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9→10 발표 노트</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각 업무의 성과가 되어 있는지 묻는 것이 다음 장의 평가 문항 쉰다섯 개입니다.</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각 업무의 성과가 되어 있는지 묻는 것이 평가 문항 쉰다섯 개입니다.</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진행 안내 삭제</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22</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10→11 [15]</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추가 항목(should)을 적어 둠</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추가 항목(should 또는 체계화·지속 상태)을 적어 둠</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검토자 — 3.3.2</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23</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10→11 발표 노트</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점수를 성숙도 수준으로 바꾸는 규칙이 다음 장의 성숙도 모델입니다.</w:t>
            </w:r>
          </w:p>
          <w:p>
            <w:pPr>
              <w:spacing w:after="30"/>
            </w:pPr>
            <w:r>
              <w:rPr>
                <w:rFonts w:ascii="맑은 고딕" w:cs="맑은 고딕" w:eastAsia="맑은 고딕" w:hAnsi="맑은 고딕"/>
                <w:color w:val="7F7F7F"/>
                <w:sz w:val="15"/>
                <w:szCs w:val="15"/>
              </w:rPr>
              <w:t xml:space="preserve"/>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진행 안내 삭제</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24</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11→12 [22]</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핵심 문항 4종 모두 4점,</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핵심 문항 4종 모두 4점 이상,</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[표 3-7] ≥ 4</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25</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11→12 발표 노트</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연계가 아예 끊긴 것과 연계가 얕은 것은 다르기 때문에</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연계가 성립하지 않은 것과 성숙도가 낮은 것은 다르기 때문에</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논문 표현</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26</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11→12 발표 노트</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이 모델을 한 회사에 적용한 결과를 보겠습니다.</w:t>
            </w:r>
          </w:p>
          <w:p>
            <w:pPr>
              <w:spacing w:after="30"/>
            </w:pPr>
            <w:r>
              <w:rPr>
                <w:rFonts w:ascii="맑은 고딕" w:cs="맑은 고딕" w:eastAsia="맑은 고딕" w:hAnsi="맑은 고딕"/>
                <w:color w:val="7F7F7F"/>
                <w:sz w:val="15"/>
                <w:szCs w:val="15"/>
              </w:rPr>
              <w:t xml:space="preserve"/>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진행 안내 삭제</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27</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12→13 [27]</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문서 심사(면담·현장 관찰 없음)</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문서 심사 — 면담·실행 상태의 현장 관찰은 포함하지 않음</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검토자</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28</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12→13 발표 노트</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4장은 이 모델을 한 회사에 적용한 결과입니다. 평가가 어떻게 흘러갔는지 그림으로 먼저 보겠습니다.</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4장은 이 모델을 한 회사에 적용한 결과입니다.</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진행 안내 삭제</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29</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12→13 발표 노트</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낮은 점수의 원인 세 가지에서 개선 과제 다섯 건을 도출하였고</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구조적 미비 세 가지와 공통 원인 두 가지에서 개선 과제 다섯 건을 도출하였고</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4.5·4.6</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30</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12→13 발표 노트</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평가는 문서 심사만으로, 평가자 한 명이,</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평가는 문서 심사로 면담과 실행 상태의 현장 관찰은 포함하지 않고, 평가자 한 명이,</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검토자</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31</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12→13 발표 노트</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판정 결과는 다음 장입니다.</w:t>
            </w:r>
          </w:p>
          <w:p>
            <w:pPr>
              <w:spacing w:after="30"/>
            </w:pPr>
            <w:r>
              <w:rPr>
                <w:rFonts w:ascii="맑은 고딕" w:cs="맑은 고딕" w:eastAsia="맑은 고딕" w:hAnsi="맑은 고딕"/>
                <w:color w:val="7F7F7F"/>
                <w:sz w:val="15"/>
                <w:szCs w:val="15"/>
              </w:rPr>
              <w:t xml:space="preserve"/>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진행 안내 삭제</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32</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13→14 발표 노트</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그러면 낮은 점수는 어디에서 왔는지, 다음 장에서 보겠습니다.</w:t>
            </w:r>
          </w:p>
          <w:p>
            <w:pPr>
              <w:spacing w:after="30"/>
            </w:pPr>
            <w:r>
              <w:rPr>
                <w:rFonts w:ascii="맑은 고딕" w:cs="맑은 고딕" w:eastAsia="맑은 고딕" w:hAnsi="맑은 고딕"/>
                <w:color w:val="7F7F7F"/>
                <w:sz w:val="15"/>
                <w:szCs w:val="15"/>
              </w:rPr>
              <w:t xml:space="preserve"/>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진행 안내 삭제</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33</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14→15 발표 노트</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LCA를 다시 할 때가 아직 오지 않았습니다.</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LCA 연 1회 재수행 규정은 있으나 아직 이행 전입니다.</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4.5.1 ③</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34</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15→16 발표 노트</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미비 사항 3건에 대응하는 개선 과제 5건을 도출하였습니다.</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구조적 미비 3건과 공통 원인 2건에 대응하는 개선 과제 5건을 도출하였습니다.</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4.5·4.6</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35</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15→16 발표 노트</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끝으로 이 모델의 장점과 단점, 한계입니다.</w:t>
            </w:r>
          </w:p>
          <w:p>
            <w:pPr>
              <w:spacing w:after="30"/>
            </w:pPr>
            <w:r>
              <w:rPr>
                <w:rFonts w:ascii="맑은 고딕" w:cs="맑은 고딕" w:eastAsia="맑은 고딕" w:hAnsi="맑은 고딕"/>
                <w:color w:val="7F7F7F"/>
                <w:sz w:val="15"/>
                <w:szCs w:val="15"/>
              </w:rPr>
              <w:t xml:space="preserve"/>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진행 안내 삭제</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36</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16→17 [5]</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 장점 여섯, 단점 여섯, 한계 셋 — 한계는 그대로 향후 연구 과제다.</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 장점 여섯, 단점 일곱, 한계 셋 — 한계는 그대로 향후 연구 과제다.</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단점 7건(5.2)</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37</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16→17 [9]</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단점</w:t>
            </w:r>
          </w:p>
          <w:p>
            <w:pPr>
              <w:spacing w:after="30"/>
            </w:pPr>
            <w:r>
              <w:rPr>
                <w:rFonts w:ascii="맑은 고딕" w:cs="맑은 고딕" w:eastAsia="맑은 고딕" w:hAnsi="맑은 고딕"/>
                <w:color w:val="7F7F7F"/>
                <w:sz w:val="15"/>
                <w:szCs w:val="15"/>
              </w:rPr>
              <w:t xml:space="preserve">· 핵심 문항 4종에 대한 의존 — 네 문항의 선택은 전문가 검토 전</w:t>
            </w:r>
          </w:p>
          <w:p>
            <w:pPr>
              <w:spacing w:after="30"/>
            </w:pPr>
            <w:r>
              <w:rPr>
                <w:rFonts w:ascii="맑은 고딕" w:cs="맑은 고딕" w:eastAsia="맑은 고딕" w:hAnsi="맑은 고딕"/>
                <w:color w:val="7F7F7F"/>
                <w:sz w:val="15"/>
                <w:szCs w:val="15"/>
              </w:rPr>
              <w:t xml:space="preserve">· 판정 파라미터 — 과반 50% 등은 연구자가 정한 값</w:t>
            </w:r>
          </w:p>
          <w:p>
            <w:pPr>
              <w:spacing w:after="30"/>
            </w:pPr>
            <w:r>
              <w:rPr>
                <w:rFonts w:ascii="맑은 고딕" w:cs="맑은 고딕" w:eastAsia="맑은 고딕" w:hAnsi="맑은 고딕"/>
                <w:color w:val="7F7F7F"/>
                <w:sz w:val="15"/>
                <w:szCs w:val="15"/>
              </w:rPr>
              <w:t xml:space="preserve">· 평가의 부담 — 55문항 문서 확인, 두 분야를 다 알아야</w:t>
            </w:r>
          </w:p>
          <w:p>
            <w:pPr>
              <w:spacing w:after="30"/>
            </w:pPr>
            <w:r>
              <w:rPr>
                <w:rFonts w:ascii="맑은 고딕" w:cs="맑은 고딕" w:eastAsia="맑은 고딕" w:hAnsi="맑은 고딕"/>
                <w:color w:val="7F7F7F"/>
                <w:sz w:val="15"/>
                <w:szCs w:val="15"/>
              </w:rPr>
              <w:t xml:space="preserve">· 적용 대상의 제약 — LCA를 안 하는 회사는 차이가 안 난다</w:t>
            </w:r>
          </w:p>
          <w:p>
            <w:pPr>
              <w:spacing w:after="30"/>
            </w:pPr>
            <w:r>
              <w:rPr>
                <w:rFonts w:ascii="맑은 고딕" w:cs="맑은 고딕" w:eastAsia="맑은 고딕" w:hAnsi="맑은 고딕"/>
                <w:color w:val="7F7F7F"/>
                <w:sz w:val="15"/>
                <w:szCs w:val="15"/>
              </w:rPr>
              <w:t xml:space="preserve">· 문항 간 종속 · 문서 심사 방식 — 미비 하나가 여러 점수에, 형식적 이행은 못 가림</w:t>
            </w:r>
          </w:p>
          <w:p>
            <w:pPr>
              <w:spacing w:after="30"/>
            </w:pPr>
            <w:r>
              <w:rPr>
                <w:rFonts w:ascii="맑은 고딕" w:cs="맑은 고딕" w:eastAsia="맑은 고딕" w:hAnsi="맑은 고딕"/>
                <w:color w:val="7F7F7F"/>
                <w:sz w:val="15"/>
                <w:szCs w:val="15"/>
              </w:rPr>
              <w:t xml:space="preserve">· 환경성과와의 관계 미검증 — 탄소·비용이 주는지는 확인 안 함</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단점</w:t>
            </w:r>
          </w:p>
          <w:p>
            <w:pPr>
              <w:spacing w:after="30"/>
            </w:pPr>
            <w:r>
              <w:rPr>
                <w:rFonts w:ascii="맑은 고딕" w:cs="맑은 고딕" w:eastAsia="맑은 고딕" w:hAnsi="맑은 고딕"/>
                <w:sz w:val="16"/>
                <w:szCs w:val="16"/>
              </w:rPr>
              <w:t xml:space="preserve">· 핵심 문항 4종에 대한 의존 — 네 문항의 선택은 전문가 검토 전</w:t>
            </w:r>
          </w:p>
          <w:p>
            <w:pPr>
              <w:spacing w:after="30"/>
            </w:pPr>
            <w:r>
              <w:rPr>
                <w:rFonts w:ascii="맑은 고딕" w:cs="맑은 고딕" w:eastAsia="맑은 고딕" w:hAnsi="맑은 고딕"/>
                <w:sz w:val="16"/>
                <w:szCs w:val="16"/>
              </w:rPr>
              <w:t xml:space="preserve">· 판정 파라미터 — 과반 50% 등은 연구자가 정한 값</w:t>
            </w:r>
          </w:p>
          <w:p>
            <w:pPr>
              <w:spacing w:after="30"/>
            </w:pPr>
            <w:r>
              <w:rPr>
                <w:rFonts w:ascii="맑은 고딕" w:cs="맑은 고딕" w:eastAsia="맑은 고딕" w:hAnsi="맑은 고딕"/>
                <w:sz w:val="16"/>
                <w:szCs w:val="16"/>
              </w:rPr>
              <w:t xml:space="preserve">· 평가의 부담 — 55문항 문서 확인, 두 분야를 다 알아야</w:t>
            </w:r>
          </w:p>
          <w:p>
            <w:pPr>
              <w:spacing w:after="30"/>
            </w:pPr>
            <w:r>
              <w:rPr>
                <w:rFonts w:ascii="맑은 고딕" w:cs="맑은 고딕" w:eastAsia="맑은 고딕" w:hAnsi="맑은 고딕"/>
                <w:sz w:val="16"/>
                <w:szCs w:val="16"/>
              </w:rPr>
              <w:t xml:space="preserve">· 적용 대상의 제약 — LCA를 안 하는 회사는 차이가 안 난다</w:t>
            </w:r>
          </w:p>
          <w:p>
            <w:pPr>
              <w:spacing w:after="30"/>
            </w:pPr>
            <w:r>
              <w:rPr>
                <w:rFonts w:ascii="맑은 고딕" w:cs="맑은 고딕" w:eastAsia="맑은 고딕" w:hAnsi="맑은 고딕"/>
                <w:sz w:val="16"/>
                <w:szCs w:val="16"/>
              </w:rPr>
              <w:t xml:space="preserve">· 문항 간 종속 — 미비 하나가 여러 점수에 함께 영향</w:t>
            </w:r>
          </w:p>
          <w:p>
            <w:pPr>
              <w:spacing w:after="30"/>
            </w:pPr>
            <w:r>
              <w:rPr>
                <w:rFonts w:ascii="맑은 고딕" w:cs="맑은 고딕" w:eastAsia="맑은 고딕" w:hAnsi="맑은 고딕"/>
                <w:sz w:val="16"/>
                <w:szCs w:val="16"/>
              </w:rPr>
              <w:t xml:space="preserve">· 문서 심사 방식 — 형식적 이행은 못 가림</w:t>
            </w:r>
          </w:p>
          <w:p>
            <w:pPr>
              <w:spacing w:after="30"/>
            </w:pPr>
            <w:r>
              <w:rPr>
                <w:rFonts w:ascii="맑은 고딕" w:cs="맑은 고딕" w:eastAsia="맑은 고딕" w:hAnsi="맑은 고딕"/>
                <w:sz w:val="16"/>
                <w:szCs w:val="16"/>
              </w:rPr>
              <w:t xml:space="preserve">· 환경성과와의 관계 미검증 — 탄소·비용이 주는지는 확인 안 함</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단점 7건으로 분리</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38</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16→17 발표 노트(전체)</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이 모델의 장점과 단점, 그리고 한계입니다. 장점 여섯, 단점 여섯, 한계 셋입니다.</w:t>
            </w:r>
          </w:p>
          <w:p>
            <w:pPr>
              <w:spacing w:after="30"/>
            </w:pPr>
            <w:r>
              <w:rPr>
                <w:rFonts w:ascii="맑은 고딕" w:cs="맑은 고딕" w:eastAsia="맑은 고딕" w:hAnsi="맑은 고딕"/>
                <w:color w:val="7F7F7F"/>
                <w:sz w:val="15"/>
                <w:szCs w:val="15"/>
              </w:rPr>
              <w:t xml:space="preserve">장점은 문항의 출처를 조항까지 따라갈 수 있다는 것, 같은 증거면 같은 점수가 나온다는 것, 종합점수에 묻히는 미비를 드러낸다는 것, 평가가 개선과 재평가로 이어진다는 것, 판정 구조와 평가 방법을 국제표준에서 가져왔다는 것, 수준의 뜻을 체계 단계와 숫자 확인 단계로 나눈 것입니다.</w:t>
            </w:r>
          </w:p>
          <w:p>
            <w:pPr>
              <w:spacing w:after="30"/>
            </w:pPr>
            <w:r>
              <w:rPr>
                <w:rFonts w:ascii="맑은 고딕" w:cs="맑은 고딕" w:eastAsia="맑은 고딕" w:hAnsi="맑은 고딕"/>
                <w:color w:val="7F7F7F"/>
                <w:sz w:val="15"/>
                <w:szCs w:val="15"/>
              </w:rPr>
              <w:t xml:space="preserve">단점은 판정이 핵심 문항 4종에 좌우된다는 것, 기준값이 연구자 확정값이라는 것, 평가에 손이 많이 간다는 것, LCA를 안 하는 회사는 차이가 안 난다는 것, 미비 하나가 여러 점수에 함께 영향을 주고 문서 심사라 형식적 이행을 가리기 어렵다는 것, 환경성과와의 관계는 검증하지 않았다는 것입니다.</w:t>
            </w:r>
          </w:p>
          <w:p>
            <w:pPr>
              <w:spacing w:after="30"/>
            </w:pPr>
            <w:r>
              <w:rPr>
                <w:rFonts w:ascii="맑은 고딕" w:cs="맑은 고딕" w:eastAsia="맑은 고딕" w:hAnsi="맑은 고딕"/>
                <w:color w:val="7F7F7F"/>
                <w:sz w:val="15"/>
                <w:szCs w:val="15"/>
              </w:rPr>
              <w:t xml:space="preserve">한계는 한 회사·한 시점·평가자 한 명, 전문가 타당도 조사 미실시, 가장 높은 두 수준의 사례 미확인이고, 이 셋이 그대로 향후 연구 과제입니다.</w:t>
            </w:r>
          </w:p>
          <w:p>
            <w:pPr>
              <w:spacing w:after="30"/>
            </w:pPr>
            <w:r>
              <w:rPr>
                <w:rFonts w:ascii="맑은 고딕" w:cs="맑은 고딕" w:eastAsia="맑은 고딕" w:hAnsi="맑은 고딕"/>
                <w:color w:val="7F7F7F"/>
                <w:sz w:val="15"/>
                <w:szCs w:val="15"/>
              </w:rPr>
              <w:t xml:space="preserve">〔1분. 화면 글은 쉬운 말판, 항목 이름은 [표 5-1] 그대로. 장점·단점 전문은 백업 B-15a·B-15b, 한계 여덟 항목은 B-0c③. 연구 전체 한 장 요약은 백업 S-28. 「환경성과와의 관계」 → 전문 46번.〕</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이 모델의 장점과 단점, 그리고 한계입니다. 장점 여섯, 단점 일곱, 한계 셋입니다.</w:t>
            </w:r>
          </w:p>
          <w:p>
            <w:pPr>
              <w:spacing w:after="30"/>
            </w:pPr>
            <w:r>
              <w:rPr>
                <w:rFonts w:ascii="맑은 고딕" w:cs="맑은 고딕" w:eastAsia="맑은 고딕" w:hAnsi="맑은 고딕"/>
                <w:sz w:val="16"/>
                <w:szCs w:val="16"/>
              </w:rPr>
              <w:t xml:space="preserve">장점은 문항의 출처를 조항까지 따라갈 수 있다는 것, 같은 증거면 같은 점수가 나온다는 것, 종합점수에 묻히는 미비를 드러낸다는 것, 평가가 개선과 재평가로 이어진다는 것, 판정 구조와 평가 방법을 국제표준에서 가져왔다는 것, 수준의 뜻을 체계 단계와 숫자 확인 단계로 나눈 것입니다.</w:t>
            </w:r>
          </w:p>
          <w:p>
            <w:pPr>
              <w:spacing w:after="30"/>
            </w:pPr>
            <w:r>
              <w:rPr>
                <w:rFonts w:ascii="맑은 고딕" w:cs="맑은 고딕" w:eastAsia="맑은 고딕" w:hAnsi="맑은 고딕"/>
                <w:sz w:val="16"/>
                <w:szCs w:val="16"/>
              </w:rPr>
              <w:t xml:space="preserve">단점은 판정이 핵심 문항 4종에 좌우된다는 것, 기준값이 연구자 확정값이라는 것, 평가에 손이 많이 간다는 것, LCA를 안 하는 회사는 차이가 안 난다는 것, 미비 하나가 여러 점수에 함께 영향을 준다는 것, 문서 심사라 형식적 이행을 가리기 어렵다는 것, 환경성과와의 관계는 검증하지 않았다는 것입니다. 이 가운데 넷은 전문가 조사와 다사례 적용으로 보완하고, 셋은 설계에서 비롯되는 제약입니다.</w:t>
            </w:r>
          </w:p>
          <w:p>
            <w:pPr>
              <w:spacing w:after="30"/>
            </w:pPr>
            <w:r>
              <w:rPr>
                <w:rFonts w:ascii="맑은 고딕" w:cs="맑은 고딕" w:eastAsia="맑은 고딕" w:hAnsi="맑은 고딕"/>
                <w:sz w:val="16"/>
                <w:szCs w:val="16"/>
              </w:rPr>
              <w:t xml:space="preserve">한계는 한 회사·한 시점·평가자 한 명, 전문가 타당도 조사 미실시, 가장 높은 두 수준의 사례 미확인이고, 이 셋이 그대로 향후 연구 과제입니다.</w:t>
            </w:r>
          </w:p>
          <w:p>
            <w:pPr>
              <w:spacing w:after="30"/>
            </w:pPr>
            <w:r>
              <w:rPr>
                <w:rFonts w:ascii="맑은 고딕" w:cs="맑은 고딕" w:eastAsia="맑은 고딕" w:hAnsi="맑은 고딕"/>
                <w:sz w:val="16"/>
                <w:szCs w:val="16"/>
              </w:rPr>
              <w:t xml:space="preserve">〔1분. 화면 글은 쉬운 말판, 항목 이름은 [표 5-1] 그대로. 단점 넷(핵심 문항 지정·판정 파라미터·문항 간 종속·환경성과)은 보완 가능, 셋(평가 부담·적용 대상·문서 심사)은 설계 제약(5.2). 한계는 논문 5.3에 여덟 항목(단일 사례·시점·평가자 / 문항 간 종속 / ML4·ML5 미검증 / 표준 판의 범위 / 타당화 확장(CVI) / 진단·개선 고도화 / 미측정 구간 / 표준화 경로) — [그림 5-3] 백업 B-0c③. 장점·단점 전문은 B-15a·B-15b, 연구 전체 한 장 요약은 S-28. 「환경성과와의 관계」 → 전문 46번.〕</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단점 7건·넷/셋, 한계 여덟 항목 지시문</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39</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18→19 발표 노트</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S-5~S-28(본심사판에서 옮긴 12장)</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S-7~S-28(본심사판에서 옮긴 11장)</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백업 수</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40</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19→20 [2]</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S-5~S-28 본심사판에서 옮긴 12장(두 표준의 빈 곳 · 연구 목적과 문제</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S-7~S-28 본심사판에서 옮긴 11장(연구 목적과 문제</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백업 목록</w:t>
            </w:r>
          </w:p>
        </w:tc>
      </w:tr>
    </w:tbl>
    <w:p>
      <w:pPr>
        <w:pStyle w:val="Heading1"/>
        <w:spacing w:after="120" w:before="200"/>
      </w:pPr>
      <w:r>
        <w:rPr>
          <w:rFonts w:ascii="맑은 고딕" w:cs="맑은 고딕" w:eastAsia="맑은 고딕" w:hAnsi="맑은 고딕"/>
          <w:b/>
          <w:bCs/>
          <w:sz w:val="28"/>
          <w:szCs w:val="28"/>
        </w:rPr>
        <w:t xml:space="preserve">3. 바뀐 장 비교 그림</w:t>
      </w:r>
    </w:p>
    <w:p>
      <w:pPr>
        <w:spacing w:after="40"/>
      </w:pPr>
      <w:r>
        <w:rPr>
          <w:rFonts w:ascii="맑은 고딕" w:cs="맑은 고딕" w:eastAsia="맑은 고딕" w:hAnsi="맑은 고딕"/>
          <w:b/>
          <w:bCs/>
          <w:sz w:val="18"/>
          <w:szCs w:val="18"/>
        </w:rPr>
        <w:t xml:space="preserve">v30 슬라이드 2 — 왼쪽 v28(옛 번호), 오른쪽 v30</w:t>
      </w:r>
    </w:p>
    <w:p>
      <w:pPr>
        <w:spacing w:after="160"/>
      </w:pPr>
      <w:r>
        <w:drawing>
          <wp:inline distT="0" distB="0" distL="0" distR="0">
            <wp:extent cx="89535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953500" cy="3124200"/>
                    </a:xfrm>
                    <a:prstGeom prst="rect">
                      <a:avLst/>
                    </a:prstGeom>
                  </pic:spPr>
                </pic:pic>
              </a:graphicData>
            </a:graphic>
          </wp:inline>
        </w:drawing>
      </w:r>
    </w:p>
    <w:p>
      <w:pPr>
        <w:spacing w:after="40"/>
      </w:pPr>
      <w:r>
        <w:rPr>
          <w:rFonts w:ascii="맑은 고딕" w:cs="맑은 고딕" w:eastAsia="맑은 고딕" w:hAnsi="맑은 고딕"/>
          <w:b/>
          <w:bCs/>
          <w:sz w:val="18"/>
          <w:szCs w:val="18"/>
        </w:rPr>
        <w:t xml:space="preserve">v30 슬라이드 6 — 왼쪽 v28(옛 번호), 오른쪽 v30</w:t>
      </w:r>
    </w:p>
    <w:p>
      <w:pPr>
        <w:spacing w:after="160"/>
      </w:pPr>
      <w:r>
        <w:drawing>
          <wp:inline distT="0" distB="0" distL="0" distR="0">
            <wp:extent cx="89535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953500" cy="3124200"/>
                    </a:xfrm>
                    <a:prstGeom prst="rect">
                      <a:avLst/>
                    </a:prstGeom>
                  </pic:spPr>
                </pic:pic>
              </a:graphicData>
            </a:graphic>
          </wp:inline>
        </w:drawing>
      </w:r>
    </w:p>
    <w:p>
      <w:pPr>
        <w:spacing w:after="40"/>
      </w:pPr>
      <w:r>
        <w:rPr>
          <w:rFonts w:ascii="맑은 고딕" w:cs="맑은 고딕" w:eastAsia="맑은 고딕" w:hAnsi="맑은 고딕"/>
          <w:b/>
          <w:bCs/>
          <w:sz w:val="18"/>
          <w:szCs w:val="18"/>
        </w:rPr>
        <w:t xml:space="preserve">v30 슬라이드 7 — 왼쪽 v28(옛 번호), 오른쪽 v30</w:t>
      </w:r>
    </w:p>
    <w:p>
      <w:pPr>
        <w:spacing w:after="160"/>
      </w:pPr>
      <w:r>
        <w:drawing>
          <wp:inline distT="0" distB="0" distL="0" distR="0">
            <wp:extent cx="89535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953500" cy="3124200"/>
                    </a:xfrm>
                    <a:prstGeom prst="rect">
                      <a:avLst/>
                    </a:prstGeom>
                  </pic:spPr>
                </pic:pic>
              </a:graphicData>
            </a:graphic>
          </wp:inline>
        </w:drawing>
      </w:r>
    </w:p>
    <w:p>
      <w:pPr>
        <w:spacing w:after="40"/>
      </w:pPr>
      <w:r>
        <w:rPr>
          <w:rFonts w:ascii="맑은 고딕" w:cs="맑은 고딕" w:eastAsia="맑은 고딕" w:hAnsi="맑은 고딕"/>
          <w:b/>
          <w:bCs/>
          <w:sz w:val="18"/>
          <w:szCs w:val="18"/>
        </w:rPr>
        <w:t xml:space="preserve">v30 슬라이드 8 — 왼쪽 v28(옛 번호), 오른쪽 v30</w:t>
      </w:r>
    </w:p>
    <w:p>
      <w:pPr>
        <w:spacing w:after="160"/>
      </w:pPr>
      <w:r>
        <w:drawing>
          <wp:inline distT="0" distB="0" distL="0" distR="0">
            <wp:extent cx="89535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953500" cy="3124200"/>
                    </a:xfrm>
                    <a:prstGeom prst="rect">
                      <a:avLst/>
                    </a:prstGeom>
                  </pic:spPr>
                </pic:pic>
              </a:graphicData>
            </a:graphic>
          </wp:inline>
        </w:drawing>
      </w:r>
    </w:p>
    <w:p>
      <w:pPr>
        <w:spacing w:after="40"/>
      </w:pPr>
      <w:r>
        <w:rPr>
          <w:rFonts w:ascii="맑은 고딕" w:cs="맑은 고딕" w:eastAsia="맑은 고딕" w:hAnsi="맑은 고딕"/>
          <w:b/>
          <w:bCs/>
          <w:sz w:val="18"/>
          <w:szCs w:val="18"/>
        </w:rPr>
        <w:t xml:space="preserve">v30 슬라이드 11 — 왼쪽 v28(옛 번호), 오른쪽 v30</w:t>
      </w:r>
    </w:p>
    <w:p>
      <w:pPr>
        <w:spacing w:after="160"/>
      </w:pPr>
      <w:r>
        <w:drawing>
          <wp:inline distT="0" distB="0" distL="0" distR="0">
            <wp:extent cx="89535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953500" cy="3124200"/>
                    </a:xfrm>
                    <a:prstGeom prst="rect">
                      <a:avLst/>
                    </a:prstGeom>
                  </pic:spPr>
                </pic:pic>
              </a:graphicData>
            </a:graphic>
          </wp:inline>
        </w:drawing>
      </w:r>
    </w:p>
    <w:p>
      <w:pPr>
        <w:spacing w:after="40"/>
      </w:pPr>
      <w:r>
        <w:rPr>
          <w:rFonts w:ascii="맑은 고딕" w:cs="맑은 고딕" w:eastAsia="맑은 고딕" w:hAnsi="맑은 고딕"/>
          <w:b/>
          <w:bCs/>
          <w:sz w:val="18"/>
          <w:szCs w:val="18"/>
        </w:rPr>
        <w:t xml:space="preserve">v30 슬라이드 12 — 왼쪽 v28(옛 번호), 오른쪽 v30</w:t>
      </w:r>
    </w:p>
    <w:p>
      <w:pPr>
        <w:spacing w:after="160"/>
      </w:pPr>
      <w:r>
        <w:drawing>
          <wp:inline distT="0" distB="0" distL="0" distR="0">
            <wp:extent cx="89535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953500" cy="3124200"/>
                    </a:xfrm>
                    <a:prstGeom prst="rect">
                      <a:avLst/>
                    </a:prstGeom>
                  </pic:spPr>
                </pic:pic>
              </a:graphicData>
            </a:graphic>
          </wp:inline>
        </w:drawing>
      </w:r>
    </w:p>
    <w:p>
      <w:pPr>
        <w:spacing w:after="40"/>
      </w:pPr>
      <w:r>
        <w:rPr>
          <w:rFonts w:ascii="맑은 고딕" w:cs="맑은 고딕" w:eastAsia="맑은 고딕" w:hAnsi="맑은 고딕"/>
          <w:b/>
          <w:bCs/>
          <w:sz w:val="18"/>
          <w:szCs w:val="18"/>
        </w:rPr>
        <w:t xml:space="preserve">v30 슬라이드 13 — 왼쪽 v28(옛 번호), 오른쪽 v30</w:t>
      </w:r>
    </w:p>
    <w:p>
      <w:pPr>
        <w:spacing w:after="160"/>
      </w:pPr>
      <w:r>
        <w:drawing>
          <wp:inline distT="0" distB="0" distL="0" distR="0">
            <wp:extent cx="89535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953500" cy="3124200"/>
                    </a:xfrm>
                    <a:prstGeom prst="rect">
                      <a:avLst/>
                    </a:prstGeom>
                  </pic:spPr>
                </pic:pic>
              </a:graphicData>
            </a:graphic>
          </wp:inline>
        </w:drawing>
      </w:r>
    </w:p>
    <w:p>
      <w:pPr>
        <w:spacing w:after="40"/>
      </w:pPr>
      <w:r>
        <w:rPr>
          <w:rFonts w:ascii="맑은 고딕" w:cs="맑은 고딕" w:eastAsia="맑은 고딕" w:hAnsi="맑은 고딕"/>
          <w:b/>
          <w:bCs/>
          <w:sz w:val="18"/>
          <w:szCs w:val="18"/>
        </w:rPr>
        <w:t xml:space="preserve">v30 슬라이드 17 — 왼쪽 v28(옛 번호), 오른쪽 v30</w:t>
      </w:r>
    </w:p>
    <w:p>
      <w:pPr>
        <w:spacing w:after="160"/>
      </w:pPr>
      <w:r>
        <w:drawing>
          <wp:inline distT="0" distB="0" distL="0" distR="0">
            <wp:extent cx="89535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953500" cy="3124200"/>
                    </a:xfrm>
                    <a:prstGeom prst="rect">
                      <a:avLst/>
                    </a:prstGeom>
                  </pic:spPr>
                </pic:pic>
              </a:graphicData>
            </a:graphic>
          </wp:inline>
        </w:drawing>
      </w:r>
    </w:p>
    <w:p>
      <w:pPr>
        <w:pStyle w:val="Heading1"/>
        <w:spacing w:after="120" w:before="200"/>
      </w:pPr>
      <w:r>
        <w:rPr>
          <w:rFonts w:ascii="맑은 고딕" w:cs="맑은 고딕" w:eastAsia="맑은 고딕" w:hAnsi="맑은 고딕"/>
          <w:b/>
          <w:bCs/>
          <w:sz w:val="28"/>
          <w:szCs w:val="28"/>
        </w:rPr>
        <w:t xml:space="preserve">4. 이사님 확인 사항</w:t>
      </w:r>
    </w:p>
    <w:p>
      <w:pPr>
        <w:spacing w:after="60"/>
      </w:pPr>
      <w:r>
        <w:rPr>
          <w:rFonts w:ascii="맑은 고딕" w:cs="맑은 고딕" w:eastAsia="맑은 고딕" w:hAnsi="맑은 고딕"/>
          <w:sz w:val="17"/>
          <w:szCs w:val="17"/>
        </w:rPr>
        <w:t xml:space="preserve">· 시간 17분 50초 — 줄일지 결정. 줄이면 3·7·14번 노트에서 한 문장씩.</w:t>
      </w:r>
    </w:p>
    <w:p>
      <w:pPr>
        <w:spacing w:after="60"/>
      </w:pPr>
      <w:r>
        <w:rPr>
          <w:rFonts w:ascii="맑은 고딕" w:cs="맑은 고딕" w:eastAsia="맑은 고딕" w:hAnsi="맑은 고딕"/>
          <w:sz w:val="17"/>
          <w:szCs w:val="17"/>
        </w:rPr>
        <w:t xml:space="preserve">· 3번을 [그림 1-2] 연구 절차 흐름도로 바꾸는 것은 보류(원래 [그림 1-4] 그대로). 연구 절차·연구 문제는 백업 S-7.</w:t>
      </w:r>
    </w:p>
    <w:p>
      <w:pPr>
        <w:spacing w:after="60"/>
      </w:pPr>
      <w:r>
        <w:rPr>
          <w:rFonts w:ascii="맑은 고딕" w:cs="맑은 고딕" w:eastAsia="맑은 고딕" w:hAnsi="맑은 고딕"/>
          <w:sz w:val="17"/>
          <w:szCs w:val="17"/>
        </w:rPr>
        <w:t xml:space="preserve">· 본심사판(30장)은 예비심사 뒤 v30 구성으로 다시 만든다.</w:t>
      </w:r>
    </w:p>
    <w:sectPr>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482956969e6da73e6fced586878728cf215d295.png"/><Relationship Id="rId8" Type="http://schemas.openxmlformats.org/officeDocument/2006/relationships/image" Target="media/bcfcd395d545089c7c539553746376702aa1300f.png"/><Relationship Id="rId9" Type="http://schemas.openxmlformats.org/officeDocument/2006/relationships/image" Target="media/d407866e7bdc9509336f52b844c6b3a626868630.png"/><Relationship Id="rId10" Type="http://schemas.openxmlformats.org/officeDocument/2006/relationships/image" Target="media/e86bca3297c58b37e778fea22dc641d16270a6eb.png"/><Relationship Id="rId11" Type="http://schemas.openxmlformats.org/officeDocument/2006/relationships/image" Target="media/d1a3cd5d94830250c91bfffb39fe089ae50a2224.png"/><Relationship Id="rId12" Type="http://schemas.openxmlformats.org/officeDocument/2006/relationships/image" Target="media/f2e29b2925ac3b21eec389e67b0450bc7174b9bf.png"/><Relationship Id="rId13" Type="http://schemas.openxmlformats.org/officeDocument/2006/relationships/image" Target="media/e42871c0013452212bf8700f91fc0ebf297d8794.png"/><Relationship Id="rId14" Type="http://schemas.openxmlformats.org/officeDocument/2006/relationships/image" Target="media/875f6d30415a05caa629a4258c67ef6dae197d16.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2026-10-14T05:26:53.952Z</dcterms:created>
  <dcterms:modified xsi:type="dcterms:W3CDTF">2026-10-14T05:26:53.952Z</dcterms:modified>
</cp:coreProperties>
</file>

<file path=docProps/custom.xml><?xml version="1.0" encoding="utf-8"?>
<Properties xmlns="http://schemas.openxmlformats.org/officeDocument/2006/custom-properties" xmlns:vt="http://schemas.openxmlformats.org/officeDocument/2006/docPropsVTypes"/>
</file>