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差速AGV多传感器外参标定工作站设计与操作规范</w:t>
      </w:r>
    </w:p>
    <w:p>
      <w:bookmarkStart w:id="mtcnqqej9wic934qpb5" w:name="mtcnqqej9wic934qpb5"/>
      <w:pPr>
        <w:pStyle w:val="dingding-heading2"/>
      </w:pPr>
      <w:r>
        <w:t xml:space="preserve">第一部分：标定环境与整体占地评估</w:t>
      </w:r>
      <w:bookmarkEnd w:id="mtcnqqej9wic934qpb5"/>
    </w:p>
    <w:p>
      <w:pPr/>
      <w:r>
        <w:t xml:space="preserve">标定台需要提供绝对的基准，对占地和环境的物理要求如下：</w:t>
      </w:r>
    </w:p>
    <w:p>
      <w:pPr>
        <w:numPr>
          <w:ilvl w:val="0"/>
          <w:numId w:val="1"/>
        </w:numPr>
      </w:pPr>
      <w:r>
        <w:rPr>
          <w:b w:val="1"/>
        </w:rPr>
        <w:t xml:space="preserve">工作站外形尺寸（占地面积）</w:t>
      </w:r>
      <w:r>
        <w:t xml:space="preserve">：</w:t>
        <w:br w:type="textWrapping"/>
      </w:r>
    </w:p>
    <w:p>
      <w:pPr>
        <w:numPr>
          <w:ilvl w:val="1"/>
          <w:numId w:val="1"/>
        </w:numPr>
      </w:pPr>
      <w:r>
        <w:t xml:space="preserve">假设 AGV 车体轮廓在 </w:t>
      </w:r>
      <w:r>
        <w:t xml:space="preserve">L:800mm \times W:600mm</w:t>
      </w:r>
      <w:r>
        <w:t xml:space="preserve"> 以内。</w:t>
      </w:r>
    </w:p>
    <w:p>
      <w:pPr>
        <w:numPr>
          <w:ilvl w:val="1"/>
          <w:numId w:val="1"/>
        </w:numPr>
      </w:pPr>
      <w:r>
        <w:rPr>
          <w:b w:val="1"/>
        </w:rPr>
        <w:t xml:space="preserve">建议标定台基座尺寸：长 2000mm × 宽 1500mm</w:t>
      </w:r>
      <w:r>
        <w:t xml:space="preserve">。</w:t>
      </w:r>
    </w:p>
    <w:p>
      <w:pPr>
        <w:numPr>
          <w:ilvl w:val="1"/>
          <w:numId w:val="1"/>
        </w:numPr>
      </w:pPr>
      <w:r>
        <w:rPr>
          <w:b w:val="1"/>
        </w:rPr>
        <w:t xml:space="preserve">预留操作空间</w:t>
      </w:r>
      <w:r>
        <w:t xml:space="preserve">：四周需预留至少 0.8 米的人工操作走道，总占用环境空间约 </w:t>
      </w:r>
      <w:r>
        <w:t xml:space="preserve">3.5m \times 3m</w:t>
      </w:r>
      <w:r>
        <w:t xml:space="preserve">。</w:t>
      </w:r>
    </w:p>
    <w:p>
      <w:pPr>
        <w:numPr>
          <w:ilvl w:val="0"/>
          <w:numId w:val="1"/>
        </w:numPr>
      </w:pPr>
      <w:r>
        <w:rPr>
          <w:b w:val="1"/>
        </w:rPr>
        <w:t xml:space="preserve">基准平台材质</w:t>
      </w:r>
      <w:r>
        <w:t xml:space="preserve">：</w:t>
        <w:br w:type="textWrapping"/>
      </w:r>
    </w:p>
    <w:p>
      <w:pPr>
        <w:numPr>
          <w:ilvl w:val="1"/>
          <w:numId w:val="1"/>
        </w:numPr>
      </w:pPr>
      <w:r>
        <w:t xml:space="preserve">强烈建议采用 </w:t>
      </w:r>
      <w:r>
        <w:rPr>
          <w:b w:val="1"/>
        </w:rPr>
        <w:t xml:space="preserve">00级精密花岗岩（大理石）平台</w:t>
      </w:r>
      <w:r>
        <w:t xml:space="preserve"> 作为整个标定台的底座。它能提供微米级的平面度，且不受温差变形影响，这是保障深度相机 </w:t>
      </w:r>
      <w:r>
        <w:t xml:space="preserve">(Z, Roll, Pitch)</w:t>
      </w:r>
      <w:r>
        <w:t xml:space="preserve"> 标定精度的物理地基。</w:t>
      </w:r>
    </w:p>
    <w:p>
      <w:pPr>
        <w:numPr>
          <w:ilvl w:val="0"/>
          <w:numId w:val="1"/>
        </w:numPr>
      </w:pPr>
      <w:r>
        <w:rPr>
          <w:b w:val="1"/>
        </w:rPr>
        <w:t xml:space="preserve">环境光要求</w:t>
      </w:r>
      <w:r>
        <w:t xml:space="preserve">：</w:t>
        <w:br w:type="textWrapping"/>
      </w:r>
    </w:p>
    <w:p>
      <w:pPr>
        <w:numPr>
          <w:ilvl w:val="1"/>
          <w:numId w:val="1"/>
        </w:numPr>
      </w:pPr>
      <w:r>
        <w:t xml:space="preserve">避免室外阳光直射（防止红外光谱干扰深度相机），环境顶部建议采用均匀的漫反射 LED 白光照明。</w:t>
      </w:r>
    </w:p>
    <w:p>
      <w:pPr>
        <w:pBdr>
          <w:top w:val="single" w:sz="6" w:space="0" w:color="000000"/>
        </w:pBdr>
      </w:pPr>
    </w:p>
    <w:p>
      <w:bookmarkStart w:id="mtcnqqeki3f1iojuo3l" w:name="mtcnqqeki3f1iojuo3l"/>
      <w:pPr>
        <w:pStyle w:val="dingding-heading2"/>
      </w:pPr>
      <w:r>
        <w:t xml:space="preserve">第二部分：工装结构设计方案</w:t>
      </w:r>
      <w:bookmarkEnd w:id="mtcnqqeki3f1iojuo3l"/>
    </w:p>
    <w:p>
      <w:pPr/>
      <w:r>
        <w:t xml:space="preserve">整个标定工装由四大核心组件构成，所有组件均以大理石平台为绝对安装基准。</w:t>
      </w:r>
    </w:p>
    <w:p>
      <w:bookmarkStart w:id="mtcnqqek1csfo1xr0n1" w:name="mtcnqqek1csfo1xr0n1"/>
      <w:pPr>
        <w:pStyle w:val="dingding-heading3"/>
      </w:pPr>
      <w:r>
        <w:t xml:space="preserve">1. 核心基准：双轮自定心同步夹具</w:t>
      </w:r>
      <w:bookmarkEnd w:id="mtcnqqek1csfo1xr0n1"/>
    </w:p>
    <w:p>
      <w:pPr>
        <w:numPr>
          <w:ilvl w:val="0"/>
          <w:numId w:val="2"/>
        </w:numPr>
      </w:pPr>
      <w:r>
        <w:rPr>
          <w:b w:val="1"/>
        </w:rPr>
        <w:t xml:space="preserve">设计目的</w:t>
      </w:r>
      <w:r>
        <w:t xml:space="preserve">：将 AGV 的双驱动轮牢固锁死，强制令base_link原点(双轮中心)与工装世界坐标系原点重合，保证偏航角 </w:t>
      </w:r>
      <w:r>
        <w:t xml:space="preserve">Yaw=0</w:t>
      </w:r>
      <w:r>
        <w:t xml:space="preserve">。</w:t>
      </w:r>
    </w:p>
    <w:p>
      <w:pPr>
        <w:numPr>
          <w:ilvl w:val="0"/>
          <w:numId w:val="2"/>
        </w:numPr>
      </w:pPr>
      <w:r>
        <w:rPr>
          <w:b w:val="1"/>
        </w:rPr>
        <w:t xml:space="preserve">结构形状</w:t>
      </w:r>
      <w:r>
        <w:t xml:space="preserve">：两组相对的“V型卡块”或“平口夹爪”，夹紧橡胶轮胎的胎面。</w:t>
      </w:r>
    </w:p>
    <w:p>
      <w:pPr>
        <w:numPr>
          <w:ilvl w:val="0"/>
          <w:numId w:val="2"/>
        </w:numPr>
      </w:pPr>
      <w:r>
        <w:rPr>
          <w:b w:val="1"/>
        </w:rPr>
        <w:t xml:space="preserve">运动配合关系</w:t>
      </w:r>
      <w:r>
        <w:t xml:space="preserve">：必须采用 </w:t>
      </w:r>
      <w:r>
        <w:rPr>
          <w:b w:val="1"/>
        </w:rPr>
        <w:t xml:space="preserve">双向同步丝杠（正反牙丝杠）</w:t>
      </w:r>
      <w:r>
        <w:t xml:space="preserve"> 结合直线导轨。摇动手轮或气动驱动时，左右夹爪必须同时向绝对中心轴线靠拢。</w:t>
      </w:r>
    </w:p>
    <w:p>
      <w:pPr>
        <w:numPr>
          <w:ilvl w:val="0"/>
          <w:numId w:val="2"/>
        </w:numPr>
      </w:pPr>
      <w:r>
        <w:rPr>
          <w:b w:val="1"/>
        </w:rPr>
        <w:t xml:space="preserve">尺寸参考</w:t>
      </w:r>
      <w:r>
        <w:t xml:space="preserve">：夹爪行程需覆盖 </w:t>
      </w:r>
      <w:r>
        <w:t xml:space="preserve">300mm \sim 600mm</w:t>
      </w:r>
      <w:r>
        <w:t xml:space="preserve">（需根据具体 AGV 轮距定制）。</w:t>
      </w:r>
    </w:p>
    <w:p>
      <w:pPr>
        <w:numPr>
          <w:ilvl w:val="0"/>
          <w:numId w:val="2"/>
        </w:numPr>
      </w:pPr>
      <w:r>
        <w:rPr>
          <w:b w:val="1"/>
        </w:rPr>
        <w:t xml:space="preserve">尺寸精度</w:t>
      </w:r>
      <w:r>
        <w:t xml:space="preserve">：左右夹爪到中心轴线的对称度偏差 </w:t>
      </w:r>
      <w:r>
        <w:t xml:space="preserve">\le 0.05mm</w:t>
      </w:r>
      <w:r>
        <w:t xml:space="preserve">；夹爪平行度偏差 </w:t>
      </w:r>
      <w:r>
        <w:t xml:space="preserve">\le 0.05mm</w:t>
      </w:r>
      <w:r>
        <w:t xml:space="preserve">。</w:t>
      </w:r>
    </w:p>
    <w:p>
      <w:bookmarkStart w:id="mtcnqqelmthzf5kg13" w:name="mtcnqqelmthzf5kg13"/>
      <w:pPr>
        <w:pStyle w:val="dingding-heading3"/>
      </w:pPr>
      <w:r>
        <w:t xml:space="preserve">2. 算法靶标：</w:t>
      </w:r>
      <w:r>
        <w:rPr/>
        <w:t xml:space="preserve">V型槽或凸梯形槽特征靶标</w:t>
      </w:r>
      <w:bookmarkEnd w:id="mtcnqqelmthzf5kg13"/>
    </w:p>
    <w:p>
      <w:pPr>
        <w:numPr>
          <w:ilvl w:val="0"/>
          <w:numId w:val="3"/>
        </w:numPr>
      </w:pPr>
      <w:r>
        <w:rPr>
          <w:b w:val="1"/>
        </w:rPr>
        <w:t xml:space="preserve">设计目的</w:t>
      </w:r>
      <w:r>
        <w:t xml:space="preserve">：为激光雷达和深度相机提供 </w:t>
      </w:r>
      <w:r>
        <w:t xml:space="preserve">X, Y, Yaw</w:t>
      </w:r>
      <w:r>
        <w:t xml:space="preserve"> 的高精度解算参照。</w:t>
      </w:r>
    </w:p>
    <w:p>
      <w:pPr>
        <w:numPr>
          <w:ilvl w:val="0"/>
          <w:numId w:val="3"/>
        </w:numPr>
      </w:pPr>
      <w:r>
        <w:rPr>
          <w:b w:val="1"/>
        </w:rPr>
        <w:t xml:space="preserve">结构形状</w:t>
      </w:r>
      <w:r>
        <w:t xml:space="preserve">：垂直放置的凹V型或梯形柱体（横截面形状为__/\__）。</w:t>
      </w:r>
    </w:p>
    <w:p>
      <w:pPr>
        <w:numPr>
          <w:ilvl w:val="0"/>
          <w:numId w:val="3"/>
        </w:numPr>
      </w:pPr>
      <w:r>
        <w:rPr>
          <w:b w:val="1"/>
        </w:rPr>
        <w:t xml:space="preserve">详细尺寸（关键参数）</w:t>
      </w:r>
      <w:r>
        <w:t xml:space="preserve">：</w:t>
        <w:br w:type="textWrapping"/>
      </w:r>
    </w:p>
    <w:p>
      <w:pPr>
        <w:numPr>
          <w:ilvl w:val="1"/>
          <w:numId w:val="3"/>
        </w:numPr>
      </w:pPr>
      <w:r>
        <w:rPr>
          <w:b w:val="1"/>
        </w:rPr>
        <w:t xml:space="preserve">高度 (Z向)</w:t>
      </w:r>
      <w:r>
        <w:t xml:space="preserve">：</w:t>
      </w:r>
      <w:r>
        <w:t xml:space="preserve">600mm \sim 800mm</w:t>
      </w:r>
      <w:r>
        <w:t xml:space="preserve">（必须同时覆盖雷达水平扫描面和相机 FOV 上沿）。</w:t>
      </w:r>
    </w:p>
    <w:p>
      <w:pPr>
        <w:numPr>
          <w:ilvl w:val="1"/>
          <w:numId w:val="3"/>
        </w:numPr>
      </w:pPr>
      <w:r>
        <w:rPr>
          <w:b w:val="1"/>
        </w:rPr>
        <w:t xml:space="preserve">前平顶面宽度</w:t>
      </w:r>
      <w:r>
        <w:t xml:space="preserve">：</w:t>
      </w:r>
      <w:r>
        <w:t xml:space="preserve">120mm</w:t>
      </w:r>
      <w:r>
        <w:t xml:space="preserve">。</w:t>
      </w:r>
    </w:p>
    <w:p>
      <w:pPr>
        <w:numPr>
          <w:ilvl w:val="1"/>
          <w:numId w:val="3"/>
        </w:numPr>
      </w:pPr>
      <w:r>
        <w:rPr>
          <w:b w:val="1"/>
        </w:rPr>
        <w:t xml:space="preserve">两侧斜面倾角</w:t>
      </w:r>
      <w:r>
        <w:t xml:space="preserve">：</w:t>
      </w:r>
      <w:r>
        <w:t xml:space="preserve">45^\circ</w:t>
      </w:r>
      <w:r>
        <w:t xml:space="preserve"> 或 </w:t>
      </w:r>
      <w:r>
        <w:t xml:space="preserve">60^\circ</w:t>
      </w:r>
      <w:r>
        <w:t xml:space="preserve">。</w:t>
      </w:r>
    </w:p>
    <w:p>
      <w:pPr>
        <w:numPr>
          <w:ilvl w:val="1"/>
          <w:numId w:val="3"/>
        </w:numPr>
      </w:pPr>
      <w:r>
        <w:rPr>
          <w:b w:val="1"/>
        </w:rPr>
        <w:t xml:space="preserve">凸出深度 (X向)</w:t>
      </w:r>
      <w:r>
        <w:t xml:space="preserve">：</w:t>
      </w:r>
      <w:r>
        <w:t xml:space="preserve">100mm</w:t>
      </w:r>
      <w:r>
        <w:t xml:space="preserve">。</w:t>
      </w:r>
    </w:p>
    <w:p>
      <w:pPr>
        <w:numPr>
          <w:ilvl w:val="1"/>
          <w:numId w:val="3"/>
        </w:numPr>
      </w:pPr>
      <w:r>
        <w:rPr>
          <w:b w:val="1"/>
        </w:rPr>
        <w:t xml:space="preserve">安装位置</w:t>
      </w:r>
      <w:r>
        <w:t xml:space="preserve">：固定在夹具中心轴线正前方，距离base_link原点约 </w:t>
      </w:r>
      <w:r>
        <w:t xml:space="preserve">600mm \sim 800mm</w:t>
      </w:r>
      <w:r>
        <w:t xml:space="preserve"> 处（必须确保位于深度相机盲区之外）。</w:t>
      </w:r>
    </w:p>
    <w:p>
      <w:pPr>
        <w:numPr>
          <w:ilvl w:val="0"/>
          <w:numId w:val="3"/>
        </w:numPr>
      </w:pPr>
      <w:r>
        <w:rPr>
          <w:b w:val="1"/>
        </w:rPr>
        <w:t xml:space="preserve">表面处理（极重要）</w:t>
      </w:r>
      <w:r>
        <w:t xml:space="preserve">：铝合金机加后，</w:t>
      </w:r>
      <w:r>
        <w:rPr>
          <w:b w:val="1"/>
        </w:rPr>
        <w:t xml:space="preserve">表面喷砂并氧化为哑光浅灰色</w:t>
      </w:r>
      <w:r>
        <w:t xml:space="preserve">，绝对禁止出现任何金属反光或高光面。</w:t>
      </w:r>
    </w:p>
    <w:p>
      <w:pPr>
        <w:numPr>
          <w:ilvl w:val="0"/>
          <w:numId w:val="3"/>
        </w:numPr>
      </w:pPr>
      <w:r>
        <w:rPr>
          <w:b w:val="1"/>
        </w:rPr>
        <w:t xml:space="preserve">尺寸精度</w:t>
      </w:r>
      <w:r>
        <w:t xml:space="preserve">：各特征面平面度 </w:t>
      </w:r>
      <w:r>
        <w:t xml:space="preserve">\le 0.05mm</w:t>
      </w:r>
      <w:r>
        <w:t xml:space="preserve">，垂直于大理石底盘的垂直度公差 </w:t>
      </w:r>
      <w:r>
        <w:t xml:space="preserve">\le 0.02^\circ</w:t>
      </w:r>
      <w:r>
        <w:t xml:space="preserve">。</w:t>
      </w:r>
    </w:p>
    <w:p>
      <w:bookmarkStart w:id="mtcnqqemnzei0c09czf" w:name="mtcnqqemnzei0c09czf"/>
      <w:pPr>
        <w:pStyle w:val="dingding-heading3"/>
      </w:pPr>
      <w:r>
        <w:t xml:space="preserve">3. 外廓边界测量：四向滑动数显测量仪</w:t>
      </w:r>
      <w:bookmarkEnd w:id="mtcnqqemnzei0c09czf"/>
    </w:p>
    <w:p>
      <w:pPr>
        <w:numPr>
          <w:ilvl w:val="0"/>
          <w:numId w:val="4"/>
        </w:numPr>
      </w:pPr>
      <w:r>
        <w:rPr>
          <w:b w:val="1"/>
        </w:rPr>
        <w:t xml:space="preserve">设计目的</w:t>
      </w:r>
      <w:r>
        <w:t xml:space="preserve">：测量车壳真实物理边界，用于自动生成 Nav2 导航栈的 </w:t>
      </w:r>
      <w:r>
        <w:rPr>
          <w:shd w:val="clear" w:color="auto" w:fill="F0F1F1"/>
        </w:rPr>
        <w:t xml:space="preserve">footprint</w:t>
      </w:r>
      <w:r>
        <w:t xml:space="preserve"> 参数。</w:t>
      </w:r>
    </w:p>
    <w:p>
      <w:pPr>
        <w:numPr>
          <w:ilvl w:val="0"/>
          <w:numId w:val="4"/>
        </w:numPr>
      </w:pPr>
      <w:r>
        <w:rPr>
          <w:b w:val="1"/>
        </w:rPr>
        <w:t xml:space="preserve">结构形状</w:t>
      </w:r>
      <w:r>
        <w:t xml:space="preserve">：在 AGV 的前、后、左、右四个方向，各安装一组直线滑轨，滑轨末端带有垂直的“推板”。</w:t>
      </w:r>
    </w:p>
    <w:p>
      <w:pPr>
        <w:numPr>
          <w:ilvl w:val="0"/>
          <w:numId w:val="4"/>
        </w:numPr>
      </w:pPr>
      <w:r>
        <w:rPr>
          <w:b w:val="1"/>
        </w:rPr>
        <w:t xml:space="preserve">运动配合关系</w:t>
      </w:r>
      <w:r>
        <w:t xml:space="preserve">：</w:t>
      </w:r>
      <w:r>
        <w:rPr/>
        <w:t xml:space="preserve">手动推动推板向 AGV 靠拢，直到推板平贴住 AGV 的防撞条/车壳最外</w:t>
      </w:r>
      <w:r>
        <w:t xml:space="preserve">延。</w:t>
      </w:r>
    </w:p>
    <w:p>
      <w:pPr>
        <w:numPr>
          <w:ilvl w:val="0"/>
          <w:numId w:val="4"/>
        </w:numPr>
      </w:pPr>
      <w:r>
        <w:rPr>
          <w:b w:val="1"/>
        </w:rPr>
        <w:t xml:space="preserve">数据读取</w:t>
      </w:r>
      <w:r>
        <w:t xml:space="preserve">：滑轨侧边安装 </w:t>
      </w:r>
      <w:r>
        <w:rPr>
          <w:b w:val="1"/>
        </w:rPr>
        <w:t xml:space="preserve">光栅尺（数显容栅尺）</w:t>
      </w:r>
      <w:r>
        <w:t xml:space="preserve">（类似游标卡尺的读数屏），直接显示推板距离绝对中心的物理距离。</w:t>
      </w:r>
    </w:p>
    <w:p>
      <w:pPr>
        <w:numPr>
          <w:ilvl w:val="0"/>
          <w:numId w:val="4"/>
        </w:numPr>
      </w:pPr>
      <w:r>
        <w:rPr>
          <w:b w:val="1"/>
        </w:rPr>
        <w:t xml:space="preserve">尺寸参考</w:t>
      </w:r>
      <w:r>
        <w:t xml:space="preserve">：每个推板的滑动行程约 </w:t>
      </w:r>
      <w:r>
        <w:t xml:space="preserve">200mm</w:t>
      </w:r>
      <w:r>
        <w:t xml:space="preserve">，推板高度需覆盖 AGV 外壳最宽处区域。</w:t>
      </w:r>
    </w:p>
    <w:p>
      <w:pPr>
        <w:numPr>
          <w:ilvl w:val="0"/>
          <w:numId w:val="4"/>
        </w:numPr>
      </w:pPr>
      <w:r>
        <w:rPr>
          <w:b w:val="1"/>
        </w:rPr>
        <w:t xml:space="preserve">尺寸精度</w:t>
      </w:r>
      <w:r>
        <w:t xml:space="preserve">：光栅尺分辨率 </w:t>
      </w:r>
      <w:r>
        <w:t xml:space="preserve">0.01mm</w:t>
      </w:r>
      <w:r>
        <w:t xml:space="preserve">，整体装配系统误差 </w:t>
      </w:r>
      <w:r>
        <w:t xml:space="preserve">\le 0.5mm</w:t>
      </w:r>
      <w:r>
        <w:t xml:space="preserve">。</w:t>
      </w:r>
    </w:p>
    <w:p>
      <w:bookmarkStart w:id="mtcnqqensrit9oxh9f" w:name="mtcnqqensrit9oxh9f"/>
      <w:pPr>
        <w:pStyle w:val="dingding-heading3"/>
      </w:pPr>
      <w:r>
        <w:t xml:space="preserve">4. 无干扰区：纯地面提取区</w:t>
      </w:r>
      <w:bookmarkEnd w:id="mtcnqqensrit9oxh9f"/>
    </w:p>
    <w:p>
      <w:pPr>
        <w:numPr>
          <w:ilvl w:val="0"/>
          <w:numId w:val="5"/>
        </w:numPr>
      </w:pPr>
      <w:r>
        <w:rPr>
          <w:b w:val="1"/>
        </w:rPr>
        <w:t xml:space="preserve">设计要求</w:t>
      </w:r>
      <w:r>
        <w:t xml:space="preserve">：在梯形靶标与 AGV 车头之间，大理石表面必须绝对留空，不能有任何螺丝孔、走线槽或结构支架。需保留一块至少 </w:t>
      </w:r>
      <w:r>
        <w:t xml:space="preserve">400mm \times 400mm</w:t>
      </w:r>
      <w:r>
        <w:t xml:space="preserve"> 的纯净区域，专供深度相机算法提取地平面使用。</w:t>
      </w:r>
    </w:p>
    <w:p>
      <w:pPr>
        <w:pBdr>
          <w:top w:val="single" w:sz="6" w:space="0" w:color="000000"/>
        </w:pBdr>
      </w:pPr>
    </w:p>
    <w:p>
      <w:bookmarkStart w:id="mtcnqqen8hk2rpeu6h5" w:name="mtcnqqen8hk2rpeu6h5"/>
      <w:pPr>
        <w:pStyle w:val="dingding-heading2"/>
      </w:pPr>
      <w:r>
        <w:t xml:space="preserve">第三部分：SOP 操作使用步骤 (To 标定使用者/产线操作员)</w:t>
      </w:r>
      <w:bookmarkEnd w:id="mtcnqqen8hk2rpeu6h5"/>
    </w:p>
    <w:p>
      <w:bookmarkStart w:id="mtcnqqenxi8dlzloy3d" w:name="mtcnqqenxi8dlzloy3d"/>
      <w:pPr>
        <w:pStyle w:val="dingding-heading3"/>
      </w:pPr>
      <w:r>
        <w:t xml:space="preserve">准备工作</w:t>
      </w:r>
      <w:bookmarkEnd w:id="mtcnqqenxi8dlzloy3d"/>
    </w:p>
    <w:p>
      <w:pPr>
        <w:numPr>
          <w:ilvl w:val="0"/>
          <w:numId w:val="6"/>
        </w:numPr>
      </w:pPr>
      <w:r>
        <w:t xml:space="preserve">检查大理石台面“纯地面提取区”是</w:t>
      </w:r>
      <w:r>
        <w:rPr/>
        <w:t xml:space="preserve">否干净，无杂物干扰</w:t>
      </w:r>
      <w:r>
        <w:t xml:space="preserve">。</w:t>
      </w:r>
    </w:p>
    <w:p>
      <w:pPr>
        <w:numPr>
          <w:ilvl w:val="0"/>
          <w:numId w:val="6"/>
        </w:numPr>
      </w:pPr>
      <w:r>
        <w:t xml:space="preserve">将待标定的 AGV 开机，连接标定电脑网络（或通过 SSH 登录 AGV 内部工控机）。</w:t>
      </w:r>
    </w:p>
    <w:p>
      <w:pPr>
        <w:numPr>
          <w:ilvl w:val="0"/>
          <w:numId w:val="6"/>
        </w:numPr>
      </w:pPr>
      <w:r>
        <w:t xml:space="preserve">确保四周 4 个外轮廓推板处于完全退开的极限位置。</w:t>
      </w:r>
    </w:p>
    <w:p>
      <w:bookmarkStart w:id="mtcnqqeoyhbr39933i" w:name="mtcnqqeoyhbr39933i"/>
      <w:pPr>
        <w:pStyle w:val="dingding-heading3"/>
      </w:pPr>
      <w:r>
        <w:t xml:space="preserve">Step 1: 推入与物理对中锁定 (耗时: 30s)</w:t>
      </w:r>
      <w:bookmarkEnd w:id="mtcnqqeoyhbr39933i"/>
    </w:p>
    <w:p>
      <w:pPr>
        <w:numPr>
          <w:ilvl w:val="0"/>
          <w:numId w:val="7"/>
        </w:numPr>
      </w:pPr>
      <w:r>
        <w:t xml:space="preserve">操作员手动将 AGV 推入标定工作站。</w:t>
      </w:r>
    </w:p>
    <w:p>
      <w:pPr>
        <w:numPr>
          <w:ilvl w:val="0"/>
          <w:numId w:val="7"/>
        </w:numPr>
      </w:pPr>
      <w:r>
        <w:t xml:space="preserve">将 AGV 大致居中，保证左右驱动轮落在夹具导轨之间。</w:t>
      </w:r>
    </w:p>
    <w:p>
      <w:pPr>
        <w:numPr>
          <w:ilvl w:val="0"/>
          <w:numId w:val="7"/>
        </w:numPr>
      </w:pPr>
      <w:r>
        <w:t xml:space="preserve">摇动（或按下气动开关）双轮自定心夹具，夹爪同步靠拢，牢牢锁住双轮。</w:t>
        <w:br w:type="textWrapping"/>
      </w:r>
    </w:p>
    <w:p>
      <w:pPr>
        <w:numPr>
          <w:ilvl w:val="1"/>
          <w:numId w:val="7"/>
        </w:numPr>
      </w:pPr>
      <w:r>
        <w:rPr>
          <w:i w:val="1"/>
        </w:rPr>
        <w:t xml:space="preserve">此时，AGV已被强制摆正， base_link成功与工装世界坐标系绝对对齐。</w:t>
      </w:r>
    </w:p>
    <w:p>
      <w:bookmarkStart w:id="mtcnqqeob6i0u5qbh2h" w:name="mtcnqqeob6i0u5qbh2h"/>
      <w:pPr>
        <w:pStyle w:val="dingding-heading3"/>
      </w:pPr>
      <w:r>
        <w:t xml:space="preserve">Step 2: 外轮廓边界读取 (耗时: 30s)</w:t>
      </w:r>
      <w:bookmarkEnd w:id="mtcnqqeob6i0u5qbh2h"/>
    </w:p>
    <w:p>
      <w:pPr>
        <w:numPr>
          <w:ilvl w:val="0"/>
          <w:numId w:val="8"/>
        </w:numPr>
      </w:pPr>
      <w:r>
        <w:t xml:space="preserve">将前、后、左、右四个滑轨推板依次推向 AGV，直到推板轻轻贴紧车壳最外延。</w:t>
      </w:r>
    </w:p>
    <w:p>
      <w:pPr>
        <w:numPr>
          <w:ilvl w:val="0"/>
          <w:numId w:val="8"/>
        </w:numPr>
      </w:pPr>
      <w:r>
        <w:t xml:space="preserve">依次读取 4 个数显屏幕上的数值（即车体的真实物理边界 </w:t>
      </w:r>
      <w:r>
        <w:t xml:space="preserve">X_{max}, X_{min}, Y_{max}, Y_{min}</w:t>
      </w:r>
      <w:r>
        <w:t xml:space="preserve">）。</w:t>
      </w:r>
    </w:p>
    <w:p>
      <w:pPr>
        <w:numPr>
          <w:ilvl w:val="0"/>
          <w:numId w:val="8"/>
        </w:numPr>
      </w:pPr>
      <w:r>
        <w:rPr/>
        <w:t xml:space="preserve">将这四个数值输入到自动化标定 UI 界面中（脚本将自动更新配置文件）</w:t>
      </w:r>
      <w:r>
        <w:t xml:space="preserve">。</w:t>
      </w:r>
    </w:p>
    <w:p>
      <w:bookmarkStart w:id="mtcnqqepbng70v8puro" w:name="mtcnqqepbng70v8puro"/>
      <w:pPr>
        <w:pStyle w:val="dingding-heading3"/>
      </w:pPr>
      <w:r>
        <w:t xml:space="preserve">Step 3: 一键算法标定 (耗时: 10s)</w:t>
      </w:r>
      <w:bookmarkEnd w:id="mtcnqqepbng70v8puro"/>
    </w:p>
    <w:p>
      <w:pPr>
        <w:numPr>
          <w:ilvl w:val="0"/>
          <w:numId w:val="9"/>
        </w:numPr>
      </w:pPr>
      <w:r>
        <w:t xml:space="preserve">确保夹具已锁死，人员完全退出 AGV 前方的传感器视野。</w:t>
      </w:r>
    </w:p>
    <w:p>
      <w:pPr>
        <w:numPr>
          <w:ilvl w:val="0"/>
          <w:numId w:val="9"/>
        </w:numPr>
      </w:pPr>
      <w:r>
        <w:rPr/>
        <w:t xml:space="preserve">在工作站电脑上点击运行标定脚本。(会配合V型槽机构运动及相关传感器的数据采集)</w:t>
      </w:r>
    </w:p>
    <w:p>
      <w:pPr>
        <w:numPr>
          <w:ilvl w:val="0"/>
          <w:numId w:val="9"/>
        </w:numPr>
      </w:pPr>
      <w:r>
        <w:t xml:space="preserve">脚本将自动按序无干预执行：</w:t>
        <w:br w:type="textWrapping"/>
      </w:r>
    </w:p>
    <w:p>
      <w:pPr>
        <w:numPr>
          <w:ilvl w:val="1"/>
          <w:numId w:val="9"/>
        </w:numPr>
      </w:pPr>
      <w:r>
        <w:t xml:space="preserve">截取纯地面深度相机点云 </w:t>
      </w:r>
      <w:r>
        <w:t xml:space="preserve">\rightarrow</w:t>
      </w:r>
      <w:r>
        <w:t xml:space="preserve"> 解算相机 </w:t>
      </w:r>
      <w:r>
        <w:t xml:space="preserve">Z, Roll, Pitch</w:t>
      </w:r>
      <w:r/>
    </w:p>
    <w:p>
      <w:pPr>
        <w:numPr>
          <w:ilvl w:val="1"/>
          <w:numId w:val="9"/>
        </w:numPr>
      </w:pPr>
      <w:r>
        <w:t xml:space="preserve">地面点云采集完成后，V型槽导轨运动到机器人前方，获取导航激光点云和深度相机点云。</w:t>
      </w:r>
    </w:p>
    <w:p>
      <w:pPr>
        <w:numPr>
          <w:ilvl w:val="1"/>
          <w:numId w:val="9"/>
        </w:numPr>
      </w:pPr>
      <w:r>
        <w:t xml:space="preserve">截取雷达特征 </w:t>
      </w:r>
      <w:r>
        <w:t xml:space="preserve">\rightarrow</w:t>
      </w:r>
      <w:r>
        <w:t xml:space="preserve"> 解算雷达 </w:t>
      </w:r>
      <w:r>
        <w:t xml:space="preserve">X, Y, Yaw</w:t>
      </w:r>
      <w:r/>
    </w:p>
    <w:p>
      <w:pPr>
        <w:numPr>
          <w:ilvl w:val="1"/>
          <w:numId w:val="9"/>
        </w:numPr>
      </w:pPr>
      <w:r>
        <w:t xml:space="preserve">截取相机点云 </w:t>
      </w:r>
      <w:r>
        <w:t xml:space="preserve">\rightarrow</w:t>
      </w:r>
      <w:r>
        <w:t xml:space="preserve"> 截取高度切片匹配V形 </w:t>
      </w:r>
      <w:r>
        <w:t xml:space="preserve">\rightarrow</w:t>
      </w:r>
      <w:r>
        <w:t xml:space="preserve"> 解算相机 </w:t>
      </w:r>
      <w:r>
        <w:t xml:space="preserve">X, Y, Yaw</w:t>
      </w:r>
      <w:r/>
    </w:p>
    <w:p>
      <w:bookmarkStart w:id="mtcnqqequ0twfuc4gqj" w:name="mtcnqqequ0twfuc4gqj"/>
      <w:pPr>
        <w:pStyle w:val="dingding-heading3"/>
      </w:pPr>
      <w:r>
        <w:t xml:space="preserve">Step 4: 结果自检与保存 (耗时: 20s)</w:t>
      </w:r>
      <w:bookmarkEnd w:id="mtcnqqequ0twfuc4gqj"/>
    </w:p>
    <w:p>
      <w:pPr>
        <w:numPr>
          <w:ilvl w:val="0"/>
          <w:numId w:val="10"/>
        </w:numPr>
      </w:pPr>
      <w:r>
        <w:t xml:space="preserve">脚本运行完成后，界面将自动弹出 RViz2 验证视图。</w:t>
      </w:r>
    </w:p>
    <w:p>
      <w:pPr>
        <w:numPr>
          <w:ilvl w:val="0"/>
          <w:numId w:val="10"/>
        </w:numPr>
      </w:pPr>
      <w:r>
        <w:t xml:space="preserve">视图中会直观显示：红色的雷达 2D 梯形轮廓，与绿色的相机水平投影 2D 梯形轮廓。</w:t>
      </w:r>
    </w:p>
    <w:p>
      <w:pPr>
        <w:numPr>
          <w:ilvl w:val="0"/>
          <w:numId w:val="10"/>
        </w:numPr>
      </w:pPr>
      <w:r>
        <w:rPr>
          <w:b w:val="1"/>
        </w:rPr>
        <w:t xml:space="preserve">判定标准</w:t>
      </w:r>
      <w:r>
        <w:rPr/>
        <w:t xml:space="preserve">：如果两条轮廓线完美重合（RMSE 残差小于设定的绿色阈值），系统提示“标定通过 Pass”</w:t>
      </w:r>
      <w:r>
        <w:t xml:space="preserve">。</w:t>
      </w:r>
    </w:p>
    <w:p>
      <w:pPr>
        <w:numPr>
          <w:ilvl w:val="0"/>
          <w:numId w:val="10"/>
        </w:numPr>
      </w:pPr>
      <w:r>
        <w:rPr/>
        <w:t xml:space="preserve">点击“保存”，系统自动将外参矩阵（TF 树参数）下发并覆盖 AGV 控制器内的标定配置文件，并记录标定时间戳。</w:t>
      </w:r>
    </w:p>
    <w:p>
      <w:bookmarkStart w:id="mtcnqqeq50h0gyj4kvi" w:name="mtcnqqeq50h0gyj4kvi"/>
      <w:pPr>
        <w:pStyle w:val="dingding-heading3"/>
      </w:pPr>
      <w:r>
        <w:t xml:space="preserve">Step 5: 释放下线 (耗时: 10s)</w:t>
      </w:r>
      <w:bookmarkEnd w:id="mtcnqqeq50h0gyj4kvi"/>
    </w:p>
    <w:p>
      <w:pPr>
        <w:numPr>
          <w:ilvl w:val="0"/>
          <w:numId w:val="11"/>
        </w:numPr>
      </w:pPr>
      <w:r>
        <w:t xml:space="preserve">将 4 个外轮廓推板拉回极限原位。</w:t>
      </w:r>
    </w:p>
    <w:p>
      <w:pPr>
        <w:numPr>
          <w:ilvl w:val="0"/>
          <w:numId w:val="11"/>
        </w:numPr>
      </w:pPr>
      <w:r>
        <w:t xml:space="preserve">松开双轮定位气动/手动夹具。</w:t>
      </w:r>
    </w:p>
    <w:p>
      <w:pPr>
        <w:numPr>
          <w:ilvl w:val="0"/>
          <w:numId w:val="11"/>
        </w:numPr>
      </w:pPr>
      <w:r>
        <w:t xml:space="preserve">将 AGV 推出标定台，进入下一生产环节。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4">
    <w:abstractNumId w:val="3"/>
  </w:num>
  <w:num w:numId="1">
    <w:abstractNumId w:val="0"/>
  </w:num>
  <w:num w:numId="10">
    <w:abstractNumId w:val="9"/>
  </w:num>
  <w:num w:numId="9">
    <w:abstractNumId w:val="8"/>
  </w:num>
  <w:num w:numId="11">
    <w:abstractNumId w:val="10"/>
  </w:num>
  <w:num w:numId="3">
    <w:abstractNumId w:val="2"/>
  </w:num>
  <w:num w:numId="5">
    <w:abstractNumId w:val="4"/>
  </w:num>
  <w:num w:numId="7">
    <w:abstractNumId w:val="6"/>
  </w:num>
  <w:num w:numId="8">
    <w:abstractNumId w:val="7"/>
  </w:num>
  <w:num w:numId="6">
    <w:abstractNumId w:val="5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