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高阶函数登录例子</w:t>
      </w:r>
      <w:bookmarkStart w:id="0" w:name="_GoBack"/>
      <w:bookmarkEnd w:id="0"/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67A20" w:rsidRDefault="00E67A2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50C" w:rsidRDefault="0029050C" w:rsidP="008D37EC">
      <w:r>
        <w:separator/>
      </w:r>
    </w:p>
  </w:endnote>
  <w:endnote w:type="continuationSeparator" w:id="0">
    <w:p w:rsidR="0029050C" w:rsidRDefault="0029050C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50C" w:rsidRDefault="0029050C" w:rsidP="008D37EC">
      <w:r>
        <w:separator/>
      </w:r>
    </w:p>
  </w:footnote>
  <w:footnote w:type="continuationSeparator" w:id="0">
    <w:p w:rsidR="0029050C" w:rsidRDefault="0029050C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267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B94"/>
    <w:rsid w:val="00314D51"/>
    <w:rsid w:val="00315004"/>
    <w:rsid w:val="003170D3"/>
    <w:rsid w:val="003176FF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5A6"/>
    <w:rsid w:val="00375C9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3941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0983"/>
    <w:rsid w:val="00611203"/>
    <w:rsid w:val="006126E9"/>
    <w:rsid w:val="00612EC0"/>
    <w:rsid w:val="00612F15"/>
    <w:rsid w:val="00613CFB"/>
    <w:rsid w:val="0061629D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700"/>
    <w:rsid w:val="006F2BE8"/>
    <w:rsid w:val="006F3D62"/>
    <w:rsid w:val="006F3DB3"/>
    <w:rsid w:val="006F4104"/>
    <w:rsid w:val="006F70FC"/>
    <w:rsid w:val="00700722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5643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48D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1A3A"/>
    <w:rsid w:val="00EE2B77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80EBC3-CBC3-4FB4-8C51-23893203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31</Pages>
  <Words>3834</Words>
  <Characters>21855</Characters>
  <Application>Microsoft Office Word</Application>
  <DocSecurity>0</DocSecurity>
  <Lines>182</Lines>
  <Paragraphs>51</Paragraphs>
  <ScaleCrop>false</ScaleCrop>
  <Company/>
  <LinksUpToDate>false</LinksUpToDate>
  <CharactersWithSpaces>25638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3377</cp:revision>
  <dcterms:created xsi:type="dcterms:W3CDTF">2016-03-26T23:32:00Z</dcterms:created>
  <dcterms:modified xsi:type="dcterms:W3CDTF">2022-12-20T11:52:00Z</dcterms:modified>
</cp:coreProperties>
</file>