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E7BA3" w14:textId="69710141" w:rsidR="00E46D22" w:rsidRDefault="00C3274F">
      <w:pPr>
        <w:rPr>
          <w:sz w:val="40"/>
          <w:szCs w:val="40"/>
        </w:rPr>
      </w:pPr>
      <w:bookmarkStart w:id="0" w:name="OLE_LINK1"/>
      <w:r>
        <w:rPr>
          <w:sz w:val="40"/>
          <w:szCs w:val="40"/>
        </w:rPr>
        <w:t xml:space="preserve">SPANISH Sponge Set (not normalized, not shuffled) </w:t>
      </w:r>
      <w:r w:rsidR="001E7369">
        <w:rPr>
          <w:sz w:val="40"/>
          <w:szCs w:val="40"/>
        </w:rPr>
        <w:t xml:space="preserve"> </w:t>
      </w:r>
    </w:p>
    <w:p w14:paraId="2F4A09A9" w14:textId="771BD40D" w:rsidR="001E7369" w:rsidRPr="001E7369" w:rsidRDefault="001E7369">
      <w:r>
        <w:t xml:space="preserve">Below you can see some of the tables with the corresponding output that I ran on the sponge set for k-means, complete Link and Single Link. </w:t>
      </w:r>
    </w:p>
    <w:p w14:paraId="2306B0D8" w14:textId="77777777" w:rsidR="00E22917" w:rsidRDefault="00E22917" w:rsidP="00CE3C71">
      <w:pPr>
        <w:jc w:val="center"/>
        <w:rPr>
          <w:b/>
          <w:sz w:val="28"/>
          <w:szCs w:val="28"/>
        </w:rPr>
      </w:pPr>
      <w:r w:rsidRPr="002E7DAB">
        <w:rPr>
          <w:b/>
          <w:sz w:val="28"/>
          <w:szCs w:val="28"/>
        </w:rPr>
        <w:t>K-means</w:t>
      </w:r>
    </w:p>
    <w:tbl>
      <w:tblPr>
        <w:tblStyle w:val="TableGrid"/>
        <w:tblW w:w="11901" w:type="dxa"/>
        <w:tblInd w:w="-1265" w:type="dxa"/>
        <w:tblLook w:val="04A0" w:firstRow="1" w:lastRow="0" w:firstColumn="1" w:lastColumn="0" w:noHBand="0" w:noVBand="1"/>
      </w:tblPr>
      <w:tblGrid>
        <w:gridCol w:w="1170"/>
        <w:gridCol w:w="6869"/>
        <w:gridCol w:w="1321"/>
        <w:gridCol w:w="921"/>
        <w:gridCol w:w="1620"/>
      </w:tblGrid>
      <w:tr w:rsidR="00DC0338" w:rsidRPr="004B4335" w14:paraId="22F78BC6" w14:textId="77777777" w:rsidTr="00DC0338">
        <w:trPr>
          <w:trHeight w:val="320"/>
        </w:trPr>
        <w:tc>
          <w:tcPr>
            <w:tcW w:w="1170" w:type="dxa"/>
            <w:noWrap/>
            <w:hideMark/>
          </w:tcPr>
          <w:p w14:paraId="6FA9E08E" w14:textId="01A2EC11" w:rsidR="004B4335" w:rsidRPr="00E46D22" w:rsidRDefault="004B4335">
            <w:pPr>
              <w:rPr>
                <w:b/>
              </w:rPr>
            </w:pPr>
            <w:r w:rsidRPr="00E46D22">
              <w:rPr>
                <w:b/>
              </w:rPr>
              <w:t>Cluster</w:t>
            </w:r>
          </w:p>
        </w:tc>
        <w:tc>
          <w:tcPr>
            <w:tcW w:w="6869" w:type="dxa"/>
            <w:noWrap/>
            <w:hideMark/>
          </w:tcPr>
          <w:p w14:paraId="631895CE" w14:textId="77777777" w:rsidR="004B4335" w:rsidRPr="00E46D22" w:rsidRDefault="004B4335">
            <w:pPr>
              <w:rPr>
                <w:b/>
              </w:rPr>
            </w:pPr>
            <w:r w:rsidRPr="00E46D22">
              <w:rPr>
                <w:b/>
              </w:rPr>
              <w:t>Centroid Values</w:t>
            </w:r>
          </w:p>
        </w:tc>
        <w:tc>
          <w:tcPr>
            <w:tcW w:w="2242" w:type="dxa"/>
            <w:gridSpan w:val="2"/>
            <w:noWrap/>
            <w:hideMark/>
          </w:tcPr>
          <w:p w14:paraId="4137E12B" w14:textId="77777777" w:rsidR="004B4335" w:rsidRPr="00E46D22" w:rsidRDefault="004B4335">
            <w:pPr>
              <w:rPr>
                <w:b/>
              </w:rPr>
            </w:pPr>
            <w:r w:rsidRPr="00E46D22">
              <w:rPr>
                <w:b/>
              </w:rPr>
              <w:t>Data Per Cluster</w:t>
            </w:r>
          </w:p>
        </w:tc>
        <w:tc>
          <w:tcPr>
            <w:tcW w:w="1620" w:type="dxa"/>
            <w:noWrap/>
            <w:hideMark/>
          </w:tcPr>
          <w:p w14:paraId="17C60697" w14:textId="77777777" w:rsidR="004B4335" w:rsidRPr="00E46D22" w:rsidRDefault="004B4335">
            <w:pPr>
              <w:rPr>
                <w:b/>
              </w:rPr>
            </w:pPr>
            <w:r w:rsidRPr="00E46D22">
              <w:rPr>
                <w:b/>
              </w:rPr>
              <w:t>SSE</w:t>
            </w:r>
          </w:p>
        </w:tc>
      </w:tr>
      <w:tr w:rsidR="00E46D22" w:rsidRPr="004B4335" w14:paraId="36436602" w14:textId="77777777" w:rsidTr="00DC0338">
        <w:trPr>
          <w:trHeight w:val="320"/>
        </w:trPr>
        <w:tc>
          <w:tcPr>
            <w:tcW w:w="1170" w:type="dxa"/>
            <w:noWrap/>
            <w:hideMark/>
          </w:tcPr>
          <w:p w14:paraId="0DB9F842" w14:textId="77777777" w:rsidR="004B4335" w:rsidRPr="00E46D22" w:rsidRDefault="004B4335" w:rsidP="004B4335">
            <w:pPr>
              <w:rPr>
                <w:b/>
              </w:rPr>
            </w:pPr>
            <w:r w:rsidRPr="00E46D22">
              <w:rPr>
                <w:b/>
              </w:rPr>
              <w:t>0</w:t>
            </w:r>
          </w:p>
        </w:tc>
        <w:tc>
          <w:tcPr>
            <w:tcW w:w="6869" w:type="dxa"/>
            <w:noWrap/>
            <w:hideMark/>
          </w:tcPr>
          <w:p w14:paraId="3275C0D6" w14:textId="77777777" w:rsidR="004B4335" w:rsidRPr="00E46D22" w:rsidRDefault="004B4335">
            <w:pPr>
              <w:rPr>
                <w:b/>
              </w:rPr>
            </w:pPr>
            <w:r w:rsidRPr="00E46D22">
              <w:rPr>
                <w:b/>
              </w:rPr>
              <w:t>1_CAPA, SIN_CAPA_INTERNA_DEL_CORTEX, SI, 2.444, SIN_TILOSTILOS_ADICIONALES, SIN_ESPICULA_PRINCIPAL_ESTILO, 2.611111111111111, 0.444, OTROS</w:t>
            </w:r>
          </w:p>
        </w:tc>
        <w:tc>
          <w:tcPr>
            <w:tcW w:w="1321" w:type="dxa"/>
            <w:noWrap/>
            <w:hideMark/>
          </w:tcPr>
          <w:p w14:paraId="6A73A8CE" w14:textId="77777777" w:rsidR="004B4335" w:rsidRPr="00E46D22" w:rsidRDefault="004B4335" w:rsidP="004B4335">
            <w:pPr>
              <w:rPr>
                <w:b/>
              </w:rPr>
            </w:pPr>
            <w:r w:rsidRPr="00E46D22">
              <w:rPr>
                <w:b/>
              </w:rPr>
              <w:t>18</w:t>
            </w:r>
          </w:p>
        </w:tc>
        <w:tc>
          <w:tcPr>
            <w:tcW w:w="921" w:type="dxa"/>
            <w:noWrap/>
            <w:hideMark/>
          </w:tcPr>
          <w:p w14:paraId="721FE995" w14:textId="77777777" w:rsidR="004B4335" w:rsidRPr="00E46D22" w:rsidRDefault="004B4335" w:rsidP="004B4335">
            <w:pPr>
              <w:rPr>
                <w:b/>
              </w:rPr>
            </w:pPr>
          </w:p>
        </w:tc>
        <w:tc>
          <w:tcPr>
            <w:tcW w:w="1620" w:type="dxa"/>
            <w:noWrap/>
            <w:hideMark/>
          </w:tcPr>
          <w:p w14:paraId="4D50F7E8" w14:textId="77777777" w:rsidR="004B4335" w:rsidRPr="00E46D22" w:rsidRDefault="004B4335" w:rsidP="004B4335">
            <w:pPr>
              <w:rPr>
                <w:b/>
              </w:rPr>
            </w:pPr>
            <w:r w:rsidRPr="00E46D22">
              <w:rPr>
                <w:b/>
              </w:rPr>
              <w:t>61.167</w:t>
            </w:r>
          </w:p>
        </w:tc>
      </w:tr>
      <w:tr w:rsidR="00E46D22" w:rsidRPr="004B4335" w14:paraId="63DC06D6" w14:textId="77777777" w:rsidTr="00DC0338">
        <w:trPr>
          <w:trHeight w:val="320"/>
        </w:trPr>
        <w:tc>
          <w:tcPr>
            <w:tcW w:w="1170" w:type="dxa"/>
            <w:noWrap/>
            <w:hideMark/>
          </w:tcPr>
          <w:p w14:paraId="52AD35B0" w14:textId="77777777" w:rsidR="004B4335" w:rsidRPr="00E46D22" w:rsidRDefault="004B4335" w:rsidP="004B4335">
            <w:pPr>
              <w:rPr>
                <w:b/>
              </w:rPr>
            </w:pPr>
            <w:r w:rsidRPr="00E46D22">
              <w:rPr>
                <w:b/>
              </w:rPr>
              <w:t>1</w:t>
            </w:r>
          </w:p>
        </w:tc>
        <w:tc>
          <w:tcPr>
            <w:tcW w:w="6869" w:type="dxa"/>
            <w:noWrap/>
            <w:hideMark/>
          </w:tcPr>
          <w:p w14:paraId="59F18E68" w14:textId="77777777" w:rsidR="004B4335" w:rsidRPr="00E46D22" w:rsidRDefault="004B4335">
            <w:pPr>
              <w:rPr>
                <w:b/>
              </w:rPr>
            </w:pPr>
            <w:r w:rsidRPr="00E46D22">
              <w:rPr>
                <w:b/>
              </w:rPr>
              <w:t>SIN_CORTEX, SIN_CAPA_INTERNA_DEL_CORTEX, NO, 0.0, SIN_TILOSTILOS_ADICIONALES, SIN_ESPICULA_PRINCIPAL_ESTILO, 2.0, 0.0, OTROS</w:t>
            </w:r>
          </w:p>
        </w:tc>
        <w:tc>
          <w:tcPr>
            <w:tcW w:w="1321" w:type="dxa"/>
            <w:noWrap/>
            <w:hideMark/>
          </w:tcPr>
          <w:p w14:paraId="22F11415" w14:textId="77777777" w:rsidR="004B4335" w:rsidRPr="00E46D22" w:rsidRDefault="004B4335" w:rsidP="004B4335">
            <w:pPr>
              <w:rPr>
                <w:b/>
              </w:rPr>
            </w:pPr>
            <w:r w:rsidRPr="00E46D22">
              <w:rPr>
                <w:b/>
              </w:rPr>
              <w:t>29</w:t>
            </w:r>
          </w:p>
        </w:tc>
        <w:tc>
          <w:tcPr>
            <w:tcW w:w="921" w:type="dxa"/>
            <w:noWrap/>
            <w:hideMark/>
          </w:tcPr>
          <w:p w14:paraId="159C3D7A" w14:textId="77777777" w:rsidR="004B4335" w:rsidRPr="00E46D22" w:rsidRDefault="004B4335" w:rsidP="004B4335">
            <w:pPr>
              <w:rPr>
                <w:b/>
              </w:rPr>
            </w:pPr>
          </w:p>
        </w:tc>
        <w:tc>
          <w:tcPr>
            <w:tcW w:w="1620" w:type="dxa"/>
            <w:noWrap/>
            <w:hideMark/>
          </w:tcPr>
          <w:p w14:paraId="25EF2E9D" w14:textId="77777777" w:rsidR="004B4335" w:rsidRPr="00E46D22" w:rsidRDefault="004B4335" w:rsidP="004B4335">
            <w:pPr>
              <w:rPr>
                <w:b/>
              </w:rPr>
            </w:pPr>
            <w:r w:rsidRPr="00E46D22">
              <w:rPr>
                <w:b/>
              </w:rPr>
              <w:t>42</w:t>
            </w:r>
          </w:p>
        </w:tc>
      </w:tr>
      <w:tr w:rsidR="00E46D22" w:rsidRPr="004B4335" w14:paraId="1A7B7700" w14:textId="77777777" w:rsidTr="00DC0338">
        <w:trPr>
          <w:trHeight w:val="320"/>
        </w:trPr>
        <w:tc>
          <w:tcPr>
            <w:tcW w:w="1170" w:type="dxa"/>
            <w:noWrap/>
            <w:hideMark/>
          </w:tcPr>
          <w:p w14:paraId="0AFF3CBA" w14:textId="77777777" w:rsidR="004B4335" w:rsidRPr="00E46D22" w:rsidRDefault="004B4335" w:rsidP="004B4335">
            <w:pPr>
              <w:rPr>
                <w:b/>
              </w:rPr>
            </w:pPr>
            <w:r w:rsidRPr="00E46D22">
              <w:rPr>
                <w:b/>
              </w:rPr>
              <w:t>2</w:t>
            </w:r>
          </w:p>
        </w:tc>
        <w:tc>
          <w:tcPr>
            <w:tcW w:w="6869" w:type="dxa"/>
            <w:noWrap/>
            <w:hideMark/>
          </w:tcPr>
          <w:p w14:paraId="7CC95E25" w14:textId="77777777" w:rsidR="004B4335" w:rsidRPr="00E46D22" w:rsidRDefault="004B4335">
            <w:pPr>
              <w:rPr>
                <w:b/>
              </w:rPr>
            </w:pPr>
            <w:r w:rsidRPr="00E46D22">
              <w:rPr>
                <w:b/>
              </w:rPr>
              <w:t>SIN_CORTEX,  SIN_CAPA_INTERNA_DEL_CORTEX, NO, 0.0, SIN_TILOSTILOS_ADICIONALES, SIN_ESPICULA_PRINCIPAL_ESTILO, 0.5, 1.25, OTROS</w:t>
            </w:r>
          </w:p>
        </w:tc>
        <w:tc>
          <w:tcPr>
            <w:tcW w:w="1321" w:type="dxa"/>
            <w:noWrap/>
            <w:hideMark/>
          </w:tcPr>
          <w:p w14:paraId="542DA295" w14:textId="77777777" w:rsidR="004B4335" w:rsidRPr="00E46D22" w:rsidRDefault="004B4335" w:rsidP="004B4335">
            <w:pPr>
              <w:rPr>
                <w:b/>
              </w:rPr>
            </w:pPr>
            <w:r w:rsidRPr="00E46D22">
              <w:rPr>
                <w:b/>
              </w:rPr>
              <w:t>4</w:t>
            </w:r>
          </w:p>
        </w:tc>
        <w:tc>
          <w:tcPr>
            <w:tcW w:w="921" w:type="dxa"/>
            <w:noWrap/>
            <w:hideMark/>
          </w:tcPr>
          <w:p w14:paraId="75C312C1" w14:textId="77777777" w:rsidR="004B4335" w:rsidRPr="00E46D22" w:rsidRDefault="004B4335" w:rsidP="004B4335">
            <w:pPr>
              <w:rPr>
                <w:b/>
              </w:rPr>
            </w:pPr>
          </w:p>
        </w:tc>
        <w:tc>
          <w:tcPr>
            <w:tcW w:w="1620" w:type="dxa"/>
            <w:noWrap/>
            <w:hideMark/>
          </w:tcPr>
          <w:p w14:paraId="57B37424" w14:textId="77777777" w:rsidR="004B4335" w:rsidRPr="00E46D22" w:rsidRDefault="004B4335" w:rsidP="004B4335">
            <w:pPr>
              <w:rPr>
                <w:b/>
              </w:rPr>
            </w:pPr>
            <w:r w:rsidRPr="00E46D22">
              <w:rPr>
                <w:b/>
              </w:rPr>
              <w:t>5.75</w:t>
            </w:r>
          </w:p>
        </w:tc>
      </w:tr>
      <w:tr w:rsidR="00E46D22" w:rsidRPr="004B4335" w14:paraId="040ECA98" w14:textId="77777777" w:rsidTr="00DC0338">
        <w:trPr>
          <w:trHeight w:val="320"/>
        </w:trPr>
        <w:tc>
          <w:tcPr>
            <w:tcW w:w="1170" w:type="dxa"/>
            <w:noWrap/>
            <w:hideMark/>
          </w:tcPr>
          <w:p w14:paraId="0D910063" w14:textId="77777777" w:rsidR="004B4335" w:rsidRPr="00E46D22" w:rsidRDefault="004B4335" w:rsidP="004B4335">
            <w:pPr>
              <w:rPr>
                <w:b/>
              </w:rPr>
            </w:pPr>
            <w:r w:rsidRPr="00E46D22">
              <w:rPr>
                <w:b/>
              </w:rPr>
              <w:t>3</w:t>
            </w:r>
          </w:p>
        </w:tc>
        <w:tc>
          <w:tcPr>
            <w:tcW w:w="6869" w:type="dxa"/>
            <w:hideMark/>
          </w:tcPr>
          <w:p w14:paraId="0EC89116" w14:textId="77777777" w:rsidR="004B4335" w:rsidRPr="00E46D22" w:rsidRDefault="004B4335">
            <w:pPr>
              <w:rPr>
                <w:b/>
              </w:rPr>
            </w:pPr>
            <w:r w:rsidRPr="00E46D22">
              <w:rPr>
                <w:b/>
              </w:rPr>
              <w:t>2_CAPAS, TANGENCIAL, SI, 3.04, INTERMEDIARIOS, SIN_ESPICULA_PRINCIPAL_ESTILO, 2.52, 2.48, OTROS</w:t>
            </w:r>
          </w:p>
        </w:tc>
        <w:tc>
          <w:tcPr>
            <w:tcW w:w="1321" w:type="dxa"/>
            <w:noWrap/>
            <w:hideMark/>
          </w:tcPr>
          <w:p w14:paraId="3F72B888" w14:textId="77777777" w:rsidR="004B4335" w:rsidRPr="00E46D22" w:rsidRDefault="004B4335" w:rsidP="004B4335">
            <w:pPr>
              <w:rPr>
                <w:b/>
              </w:rPr>
            </w:pPr>
            <w:r w:rsidRPr="00E46D22">
              <w:rPr>
                <w:b/>
              </w:rPr>
              <w:t>25</w:t>
            </w:r>
          </w:p>
        </w:tc>
        <w:tc>
          <w:tcPr>
            <w:tcW w:w="921" w:type="dxa"/>
            <w:noWrap/>
            <w:hideMark/>
          </w:tcPr>
          <w:p w14:paraId="2F1E1472" w14:textId="77777777" w:rsidR="004B4335" w:rsidRPr="00E46D22" w:rsidRDefault="004B4335" w:rsidP="004B4335">
            <w:pPr>
              <w:rPr>
                <w:b/>
              </w:rPr>
            </w:pPr>
          </w:p>
        </w:tc>
        <w:tc>
          <w:tcPr>
            <w:tcW w:w="1620" w:type="dxa"/>
            <w:noWrap/>
            <w:hideMark/>
          </w:tcPr>
          <w:p w14:paraId="3003277E" w14:textId="77777777" w:rsidR="004B4335" w:rsidRPr="00E46D22" w:rsidRDefault="004B4335" w:rsidP="004B4335">
            <w:pPr>
              <w:rPr>
                <w:b/>
              </w:rPr>
            </w:pPr>
            <w:r w:rsidRPr="00E46D22">
              <w:rPr>
                <w:b/>
              </w:rPr>
              <w:t>95.44</w:t>
            </w:r>
          </w:p>
        </w:tc>
      </w:tr>
      <w:tr w:rsidR="00E46D22" w:rsidRPr="004B4335" w14:paraId="47E763CF" w14:textId="77777777" w:rsidTr="00DC0338">
        <w:trPr>
          <w:trHeight w:val="320"/>
        </w:trPr>
        <w:tc>
          <w:tcPr>
            <w:tcW w:w="1170" w:type="dxa"/>
            <w:noWrap/>
            <w:hideMark/>
          </w:tcPr>
          <w:p w14:paraId="467ED713" w14:textId="77777777" w:rsidR="004B4335" w:rsidRPr="00E46D22" w:rsidRDefault="004B4335" w:rsidP="004B4335">
            <w:pPr>
              <w:rPr>
                <w:b/>
              </w:rPr>
            </w:pPr>
          </w:p>
        </w:tc>
        <w:tc>
          <w:tcPr>
            <w:tcW w:w="6869" w:type="dxa"/>
            <w:noWrap/>
            <w:hideMark/>
          </w:tcPr>
          <w:p w14:paraId="0B0DD40A" w14:textId="77777777" w:rsidR="004B4335" w:rsidRPr="00E46D22" w:rsidRDefault="004B4335">
            <w:pPr>
              <w:rPr>
                <w:b/>
              </w:rPr>
            </w:pPr>
          </w:p>
        </w:tc>
        <w:tc>
          <w:tcPr>
            <w:tcW w:w="1321" w:type="dxa"/>
            <w:noWrap/>
            <w:hideMark/>
          </w:tcPr>
          <w:p w14:paraId="2C8C38D5" w14:textId="77777777" w:rsidR="004B4335" w:rsidRPr="00E46D22" w:rsidRDefault="004B4335">
            <w:pPr>
              <w:rPr>
                <w:b/>
              </w:rPr>
            </w:pPr>
          </w:p>
        </w:tc>
        <w:tc>
          <w:tcPr>
            <w:tcW w:w="921" w:type="dxa"/>
            <w:noWrap/>
            <w:hideMark/>
          </w:tcPr>
          <w:p w14:paraId="1A6D1BDF" w14:textId="77777777" w:rsidR="004B4335" w:rsidRPr="00E46D22" w:rsidRDefault="004B4335">
            <w:pPr>
              <w:rPr>
                <w:b/>
              </w:rPr>
            </w:pPr>
            <w:r w:rsidRPr="00E46D22">
              <w:rPr>
                <w:b/>
              </w:rPr>
              <w:t>Grand Total</w:t>
            </w:r>
          </w:p>
        </w:tc>
        <w:tc>
          <w:tcPr>
            <w:tcW w:w="1620" w:type="dxa"/>
            <w:noWrap/>
            <w:hideMark/>
          </w:tcPr>
          <w:p w14:paraId="66D30157" w14:textId="77777777" w:rsidR="004B4335" w:rsidRPr="00E46D22" w:rsidRDefault="004B4335" w:rsidP="004B4335">
            <w:pPr>
              <w:rPr>
                <w:b/>
              </w:rPr>
            </w:pPr>
            <w:r w:rsidRPr="00E46D22">
              <w:rPr>
                <w:b/>
              </w:rPr>
              <w:t>204.357</w:t>
            </w:r>
          </w:p>
        </w:tc>
      </w:tr>
    </w:tbl>
    <w:p w14:paraId="6E966C6F" w14:textId="77777777" w:rsidR="00E22917" w:rsidRPr="00CE3C71" w:rsidRDefault="00E22917" w:rsidP="00E22917">
      <w:pPr>
        <w:rPr>
          <w:b/>
        </w:rPr>
      </w:pPr>
    </w:p>
    <w:p w14:paraId="1BCAC3A1" w14:textId="77777777" w:rsidR="00E22917" w:rsidRPr="00CE3C71" w:rsidRDefault="00E22917" w:rsidP="00E22917">
      <w:pPr>
        <w:rPr>
          <w:b/>
        </w:rPr>
      </w:pPr>
    </w:p>
    <w:p w14:paraId="12F42886" w14:textId="2BE05232" w:rsidR="00E22917" w:rsidRPr="00E46D22" w:rsidRDefault="00E22917" w:rsidP="00E46D22">
      <w:pPr>
        <w:jc w:val="center"/>
        <w:rPr>
          <w:b/>
          <w:sz w:val="28"/>
          <w:szCs w:val="28"/>
        </w:rPr>
      </w:pPr>
      <w:r w:rsidRPr="00CE3C71">
        <w:rPr>
          <w:b/>
          <w:sz w:val="28"/>
          <w:szCs w:val="28"/>
        </w:rPr>
        <w:t>Complete Link</w:t>
      </w:r>
    </w:p>
    <w:tbl>
      <w:tblPr>
        <w:tblStyle w:val="TableGrid"/>
        <w:tblW w:w="11871" w:type="dxa"/>
        <w:tblInd w:w="-1256" w:type="dxa"/>
        <w:tblLook w:val="04A0" w:firstRow="1" w:lastRow="0" w:firstColumn="1" w:lastColumn="0" w:noHBand="0" w:noVBand="1"/>
      </w:tblPr>
      <w:tblGrid>
        <w:gridCol w:w="1145"/>
        <w:gridCol w:w="6856"/>
        <w:gridCol w:w="1350"/>
        <w:gridCol w:w="900"/>
        <w:gridCol w:w="1620"/>
      </w:tblGrid>
      <w:tr w:rsidR="00E46D22" w:rsidRPr="00CE3C71" w14:paraId="0769E1EF" w14:textId="77777777" w:rsidTr="00E46D22">
        <w:trPr>
          <w:trHeight w:val="320"/>
        </w:trPr>
        <w:tc>
          <w:tcPr>
            <w:tcW w:w="1145" w:type="dxa"/>
            <w:noWrap/>
            <w:hideMark/>
          </w:tcPr>
          <w:p w14:paraId="6BC29AE7" w14:textId="6246E6AB" w:rsidR="00F23C20" w:rsidRPr="00CE3C71" w:rsidRDefault="00F23C20">
            <w:pPr>
              <w:rPr>
                <w:b/>
              </w:rPr>
            </w:pPr>
            <w:r w:rsidRPr="00CE3C71">
              <w:rPr>
                <w:b/>
              </w:rPr>
              <w:t>Cluster</w:t>
            </w:r>
          </w:p>
        </w:tc>
        <w:tc>
          <w:tcPr>
            <w:tcW w:w="6856" w:type="dxa"/>
            <w:noWrap/>
            <w:hideMark/>
          </w:tcPr>
          <w:p w14:paraId="23BD8BA0" w14:textId="77777777" w:rsidR="00F23C20" w:rsidRPr="00CE3C71" w:rsidRDefault="00F23C20">
            <w:pPr>
              <w:rPr>
                <w:b/>
              </w:rPr>
            </w:pPr>
            <w:r w:rsidRPr="00CE3C71">
              <w:rPr>
                <w:b/>
              </w:rPr>
              <w:t>Centroid Values</w:t>
            </w:r>
          </w:p>
        </w:tc>
        <w:tc>
          <w:tcPr>
            <w:tcW w:w="2250" w:type="dxa"/>
            <w:gridSpan w:val="2"/>
            <w:noWrap/>
            <w:hideMark/>
          </w:tcPr>
          <w:p w14:paraId="39A24EC5" w14:textId="77777777" w:rsidR="00F23C20" w:rsidRPr="00CE3C71" w:rsidRDefault="00F23C20">
            <w:pPr>
              <w:rPr>
                <w:b/>
              </w:rPr>
            </w:pPr>
            <w:r w:rsidRPr="00CE3C71">
              <w:rPr>
                <w:b/>
              </w:rPr>
              <w:t>Data Per Cluster</w:t>
            </w:r>
          </w:p>
        </w:tc>
        <w:tc>
          <w:tcPr>
            <w:tcW w:w="1620" w:type="dxa"/>
            <w:noWrap/>
            <w:hideMark/>
          </w:tcPr>
          <w:p w14:paraId="22B4A6A6" w14:textId="77777777" w:rsidR="00F23C20" w:rsidRPr="00CE3C71" w:rsidRDefault="00F23C20">
            <w:pPr>
              <w:rPr>
                <w:b/>
              </w:rPr>
            </w:pPr>
            <w:r w:rsidRPr="00CE3C71">
              <w:rPr>
                <w:b/>
              </w:rPr>
              <w:t>SSE</w:t>
            </w:r>
          </w:p>
        </w:tc>
      </w:tr>
      <w:tr w:rsidR="00E46D22" w:rsidRPr="00CE3C71" w14:paraId="0FAE1517" w14:textId="77777777" w:rsidTr="00E46D22">
        <w:trPr>
          <w:trHeight w:val="320"/>
        </w:trPr>
        <w:tc>
          <w:tcPr>
            <w:tcW w:w="1145" w:type="dxa"/>
            <w:noWrap/>
            <w:hideMark/>
          </w:tcPr>
          <w:p w14:paraId="040D4713" w14:textId="77777777" w:rsidR="00F23C20" w:rsidRPr="00CE3C71" w:rsidRDefault="00F23C20" w:rsidP="00F23C20">
            <w:pPr>
              <w:rPr>
                <w:b/>
              </w:rPr>
            </w:pPr>
            <w:r w:rsidRPr="00CE3C71">
              <w:rPr>
                <w:b/>
              </w:rPr>
              <w:t>0</w:t>
            </w:r>
          </w:p>
        </w:tc>
        <w:tc>
          <w:tcPr>
            <w:tcW w:w="6856" w:type="dxa"/>
            <w:noWrap/>
            <w:hideMark/>
          </w:tcPr>
          <w:p w14:paraId="0C6C4EB1" w14:textId="77777777" w:rsidR="00F23C20" w:rsidRPr="00CE3C71" w:rsidRDefault="00F23C20">
            <w:pPr>
              <w:rPr>
                <w:b/>
              </w:rPr>
            </w:pPr>
            <w:r w:rsidRPr="00CE3C71">
              <w:rPr>
                <w:b/>
              </w:rPr>
              <w:t>2_CAPAS, TANGENCIAL, SI, 2.536, INTERMEDIARIOS, SIN_ESPICULA_PRINCIPAL_ESTILO, 2.5, 1.179, OTROS</w:t>
            </w:r>
          </w:p>
        </w:tc>
        <w:tc>
          <w:tcPr>
            <w:tcW w:w="1350" w:type="dxa"/>
            <w:noWrap/>
            <w:hideMark/>
          </w:tcPr>
          <w:p w14:paraId="321384EA" w14:textId="77777777" w:rsidR="00F23C20" w:rsidRPr="00CE3C71" w:rsidRDefault="00F23C20" w:rsidP="00F23C20">
            <w:pPr>
              <w:rPr>
                <w:b/>
              </w:rPr>
            </w:pPr>
            <w:r w:rsidRPr="00CE3C71">
              <w:rPr>
                <w:b/>
              </w:rPr>
              <w:t>28</w:t>
            </w:r>
          </w:p>
        </w:tc>
        <w:tc>
          <w:tcPr>
            <w:tcW w:w="900" w:type="dxa"/>
            <w:noWrap/>
            <w:hideMark/>
          </w:tcPr>
          <w:p w14:paraId="31DEC9B8" w14:textId="77777777" w:rsidR="00F23C20" w:rsidRPr="00CE3C71" w:rsidRDefault="00F23C20" w:rsidP="00F23C20">
            <w:pPr>
              <w:rPr>
                <w:b/>
              </w:rPr>
            </w:pPr>
          </w:p>
        </w:tc>
        <w:tc>
          <w:tcPr>
            <w:tcW w:w="1620" w:type="dxa"/>
            <w:noWrap/>
            <w:hideMark/>
          </w:tcPr>
          <w:p w14:paraId="4AED60F9" w14:textId="77777777" w:rsidR="00F23C20" w:rsidRPr="00CE3C71" w:rsidRDefault="00F23C20" w:rsidP="00F23C20">
            <w:pPr>
              <w:rPr>
                <w:b/>
              </w:rPr>
            </w:pPr>
            <w:r w:rsidRPr="00CE3C71">
              <w:rPr>
                <w:b/>
              </w:rPr>
              <w:t>119.071</w:t>
            </w:r>
          </w:p>
        </w:tc>
      </w:tr>
      <w:tr w:rsidR="00E46D22" w:rsidRPr="00CE3C71" w14:paraId="4157DFE9" w14:textId="77777777" w:rsidTr="00E46D22">
        <w:trPr>
          <w:trHeight w:val="320"/>
        </w:trPr>
        <w:tc>
          <w:tcPr>
            <w:tcW w:w="1145" w:type="dxa"/>
            <w:noWrap/>
            <w:hideMark/>
          </w:tcPr>
          <w:p w14:paraId="246BC4A9" w14:textId="77777777" w:rsidR="00F23C20" w:rsidRPr="00CE3C71" w:rsidRDefault="00F23C20" w:rsidP="00F23C20">
            <w:pPr>
              <w:rPr>
                <w:b/>
              </w:rPr>
            </w:pPr>
            <w:r w:rsidRPr="00CE3C71">
              <w:rPr>
                <w:b/>
              </w:rPr>
              <w:t>1</w:t>
            </w:r>
          </w:p>
        </w:tc>
        <w:tc>
          <w:tcPr>
            <w:tcW w:w="6856" w:type="dxa"/>
            <w:noWrap/>
            <w:hideMark/>
          </w:tcPr>
          <w:p w14:paraId="55644ECD" w14:textId="77777777" w:rsidR="00F23C20" w:rsidRPr="00CE3C71" w:rsidRDefault="00F23C20">
            <w:pPr>
              <w:rPr>
                <w:b/>
              </w:rPr>
            </w:pPr>
            <w:r w:rsidRPr="00CE3C71">
              <w:rPr>
                <w:b/>
              </w:rPr>
              <w:t>SIN_CORTEX, SIN_CAPA_INTERNA_DEL_CORTEX, NO, 0.0,  SIN_TILOSTILOS_ADICIONALES, SIN_ESPICULA_PRINCIPAL_ESTILO, 0.867, 0.333, OTROS</w:t>
            </w:r>
          </w:p>
        </w:tc>
        <w:tc>
          <w:tcPr>
            <w:tcW w:w="1350" w:type="dxa"/>
            <w:noWrap/>
            <w:hideMark/>
          </w:tcPr>
          <w:p w14:paraId="042FEC49" w14:textId="77777777" w:rsidR="00F23C20" w:rsidRPr="00CE3C71" w:rsidRDefault="00F23C20" w:rsidP="00F23C20">
            <w:pPr>
              <w:rPr>
                <w:b/>
              </w:rPr>
            </w:pPr>
            <w:r w:rsidRPr="00CE3C71">
              <w:rPr>
                <w:b/>
              </w:rPr>
              <w:t>15</w:t>
            </w:r>
          </w:p>
        </w:tc>
        <w:tc>
          <w:tcPr>
            <w:tcW w:w="900" w:type="dxa"/>
            <w:noWrap/>
            <w:hideMark/>
          </w:tcPr>
          <w:p w14:paraId="3D886FE1" w14:textId="77777777" w:rsidR="00F23C20" w:rsidRPr="00CE3C71" w:rsidRDefault="00F23C20" w:rsidP="00F23C20">
            <w:pPr>
              <w:rPr>
                <w:b/>
              </w:rPr>
            </w:pPr>
          </w:p>
        </w:tc>
        <w:tc>
          <w:tcPr>
            <w:tcW w:w="1620" w:type="dxa"/>
            <w:noWrap/>
            <w:hideMark/>
          </w:tcPr>
          <w:p w14:paraId="3638EFE4" w14:textId="77777777" w:rsidR="00F23C20" w:rsidRPr="00CE3C71" w:rsidRDefault="00F23C20" w:rsidP="00F23C20">
            <w:pPr>
              <w:rPr>
                <w:b/>
              </w:rPr>
            </w:pPr>
            <w:r w:rsidRPr="00CE3C71">
              <w:rPr>
                <w:b/>
              </w:rPr>
              <w:t>18.0667</w:t>
            </w:r>
          </w:p>
        </w:tc>
      </w:tr>
      <w:tr w:rsidR="00E46D22" w:rsidRPr="00CE3C71" w14:paraId="1F6678E2" w14:textId="77777777" w:rsidTr="00E46D22">
        <w:trPr>
          <w:trHeight w:val="320"/>
        </w:trPr>
        <w:tc>
          <w:tcPr>
            <w:tcW w:w="1145" w:type="dxa"/>
            <w:noWrap/>
            <w:hideMark/>
          </w:tcPr>
          <w:p w14:paraId="6335BE91" w14:textId="77777777" w:rsidR="00F23C20" w:rsidRPr="00CE3C71" w:rsidRDefault="00F23C20" w:rsidP="00F23C20">
            <w:pPr>
              <w:rPr>
                <w:b/>
              </w:rPr>
            </w:pPr>
            <w:r w:rsidRPr="00CE3C71">
              <w:rPr>
                <w:b/>
              </w:rPr>
              <w:t>2</w:t>
            </w:r>
          </w:p>
        </w:tc>
        <w:tc>
          <w:tcPr>
            <w:tcW w:w="6856" w:type="dxa"/>
            <w:noWrap/>
            <w:hideMark/>
          </w:tcPr>
          <w:p w14:paraId="1FDCA11C" w14:textId="77777777" w:rsidR="00F23C20" w:rsidRPr="00CE3C71" w:rsidRDefault="00F23C20">
            <w:pPr>
              <w:rPr>
                <w:b/>
              </w:rPr>
            </w:pPr>
            <w:r w:rsidRPr="00CE3C71">
              <w:rPr>
                <w:b/>
              </w:rPr>
              <w:t>2_CAPAS, TANGENCIAL, SI, 3.615, INTERMEDIARIOS_Y_ECTOSOMICOS, SIN_ESPICULA_PRINCIPAL_ESTILO, 2.615, 2.846, OTROS</w:t>
            </w:r>
          </w:p>
        </w:tc>
        <w:tc>
          <w:tcPr>
            <w:tcW w:w="1350" w:type="dxa"/>
            <w:noWrap/>
            <w:hideMark/>
          </w:tcPr>
          <w:p w14:paraId="6E1D803E" w14:textId="77777777" w:rsidR="00F23C20" w:rsidRPr="00CE3C71" w:rsidRDefault="00F23C20" w:rsidP="00F23C20">
            <w:pPr>
              <w:rPr>
                <w:b/>
              </w:rPr>
            </w:pPr>
            <w:r w:rsidRPr="00CE3C71">
              <w:rPr>
                <w:b/>
              </w:rPr>
              <w:t>13</w:t>
            </w:r>
          </w:p>
        </w:tc>
        <w:tc>
          <w:tcPr>
            <w:tcW w:w="900" w:type="dxa"/>
            <w:noWrap/>
            <w:hideMark/>
          </w:tcPr>
          <w:p w14:paraId="7CCDB8E4" w14:textId="77777777" w:rsidR="00F23C20" w:rsidRPr="00CE3C71" w:rsidRDefault="00F23C20" w:rsidP="00F23C20">
            <w:pPr>
              <w:rPr>
                <w:b/>
              </w:rPr>
            </w:pPr>
          </w:p>
        </w:tc>
        <w:tc>
          <w:tcPr>
            <w:tcW w:w="1620" w:type="dxa"/>
            <w:noWrap/>
            <w:hideMark/>
          </w:tcPr>
          <w:p w14:paraId="7B3AF218" w14:textId="77777777" w:rsidR="00F23C20" w:rsidRPr="00CE3C71" w:rsidRDefault="00F23C20" w:rsidP="00F23C20">
            <w:pPr>
              <w:rPr>
                <w:b/>
              </w:rPr>
            </w:pPr>
            <w:r w:rsidRPr="00CE3C71">
              <w:rPr>
                <w:b/>
              </w:rPr>
              <w:t>51.846</w:t>
            </w:r>
          </w:p>
        </w:tc>
      </w:tr>
      <w:tr w:rsidR="00E46D22" w:rsidRPr="00CE3C71" w14:paraId="775B3F80" w14:textId="77777777" w:rsidTr="00E46D22">
        <w:trPr>
          <w:trHeight w:val="320"/>
        </w:trPr>
        <w:tc>
          <w:tcPr>
            <w:tcW w:w="1145" w:type="dxa"/>
            <w:noWrap/>
            <w:hideMark/>
          </w:tcPr>
          <w:p w14:paraId="39383AD0" w14:textId="77777777" w:rsidR="00F23C20" w:rsidRPr="00CE3C71" w:rsidRDefault="00F23C20" w:rsidP="00F23C20">
            <w:pPr>
              <w:rPr>
                <w:b/>
              </w:rPr>
            </w:pPr>
            <w:r w:rsidRPr="00CE3C71">
              <w:rPr>
                <w:b/>
              </w:rPr>
              <w:t>3</w:t>
            </w:r>
          </w:p>
        </w:tc>
        <w:tc>
          <w:tcPr>
            <w:tcW w:w="6856" w:type="dxa"/>
            <w:hideMark/>
          </w:tcPr>
          <w:p w14:paraId="3D3506B1" w14:textId="77777777" w:rsidR="00F23C20" w:rsidRPr="00CE3C71" w:rsidRDefault="00F23C20">
            <w:pPr>
              <w:rPr>
                <w:b/>
              </w:rPr>
            </w:pPr>
            <w:r w:rsidRPr="00CE3C71">
              <w:rPr>
                <w:b/>
              </w:rPr>
              <w:t>SIN_CORTEX, SIN_CAPA_INTERNIA_DEL_CORTEX, NO, 0.1, SIN_TILOSTILOS_ADICIONALES, SIN_ESPICULA_PRINCIPAL_ESTILO, 2.65 ,0.0, AMARILLO_PALIDO</w:t>
            </w:r>
          </w:p>
        </w:tc>
        <w:tc>
          <w:tcPr>
            <w:tcW w:w="1350" w:type="dxa"/>
            <w:noWrap/>
            <w:hideMark/>
          </w:tcPr>
          <w:p w14:paraId="364E98EE" w14:textId="77777777" w:rsidR="00F23C20" w:rsidRPr="00CE3C71" w:rsidRDefault="00F23C20" w:rsidP="00F23C20">
            <w:pPr>
              <w:rPr>
                <w:b/>
              </w:rPr>
            </w:pPr>
            <w:r w:rsidRPr="00CE3C71">
              <w:rPr>
                <w:b/>
              </w:rPr>
              <w:t>20</w:t>
            </w:r>
          </w:p>
        </w:tc>
        <w:tc>
          <w:tcPr>
            <w:tcW w:w="900" w:type="dxa"/>
            <w:noWrap/>
            <w:hideMark/>
          </w:tcPr>
          <w:p w14:paraId="004DBA22" w14:textId="77777777" w:rsidR="00F23C20" w:rsidRPr="00CE3C71" w:rsidRDefault="00F23C20" w:rsidP="00F23C20">
            <w:pPr>
              <w:rPr>
                <w:b/>
              </w:rPr>
            </w:pPr>
          </w:p>
        </w:tc>
        <w:tc>
          <w:tcPr>
            <w:tcW w:w="1620" w:type="dxa"/>
            <w:noWrap/>
            <w:hideMark/>
          </w:tcPr>
          <w:p w14:paraId="40EA4B65" w14:textId="77777777" w:rsidR="00F23C20" w:rsidRPr="00CE3C71" w:rsidRDefault="00F23C20" w:rsidP="00F23C20">
            <w:pPr>
              <w:rPr>
                <w:b/>
              </w:rPr>
            </w:pPr>
            <w:r w:rsidRPr="00CE3C71">
              <w:rPr>
                <w:b/>
              </w:rPr>
              <w:t>24.35</w:t>
            </w:r>
          </w:p>
        </w:tc>
      </w:tr>
      <w:tr w:rsidR="00E46D22" w:rsidRPr="00CE3C71" w14:paraId="4ED2228E" w14:textId="77777777" w:rsidTr="00E46D22">
        <w:trPr>
          <w:trHeight w:val="320"/>
        </w:trPr>
        <w:tc>
          <w:tcPr>
            <w:tcW w:w="1145" w:type="dxa"/>
            <w:noWrap/>
            <w:hideMark/>
          </w:tcPr>
          <w:p w14:paraId="02A0099D" w14:textId="77777777" w:rsidR="00F23C20" w:rsidRPr="00CE3C71" w:rsidRDefault="00F23C20" w:rsidP="00F23C20">
            <w:pPr>
              <w:rPr>
                <w:b/>
              </w:rPr>
            </w:pPr>
          </w:p>
        </w:tc>
        <w:tc>
          <w:tcPr>
            <w:tcW w:w="6856" w:type="dxa"/>
            <w:noWrap/>
            <w:hideMark/>
          </w:tcPr>
          <w:p w14:paraId="509D861B" w14:textId="77777777" w:rsidR="00F23C20" w:rsidRPr="00CE3C71" w:rsidRDefault="00F23C20">
            <w:pPr>
              <w:rPr>
                <w:b/>
              </w:rPr>
            </w:pPr>
          </w:p>
        </w:tc>
        <w:tc>
          <w:tcPr>
            <w:tcW w:w="1350" w:type="dxa"/>
            <w:noWrap/>
            <w:hideMark/>
          </w:tcPr>
          <w:p w14:paraId="462E8AE2" w14:textId="77777777" w:rsidR="00F23C20" w:rsidRPr="00CE3C71" w:rsidRDefault="00F23C20">
            <w:pPr>
              <w:rPr>
                <w:b/>
              </w:rPr>
            </w:pPr>
          </w:p>
        </w:tc>
        <w:tc>
          <w:tcPr>
            <w:tcW w:w="900" w:type="dxa"/>
            <w:noWrap/>
            <w:hideMark/>
          </w:tcPr>
          <w:p w14:paraId="0292DF1D" w14:textId="77777777" w:rsidR="00F23C20" w:rsidRPr="00CE3C71" w:rsidRDefault="00F23C20">
            <w:pPr>
              <w:rPr>
                <w:b/>
              </w:rPr>
            </w:pPr>
            <w:r w:rsidRPr="00CE3C71">
              <w:rPr>
                <w:b/>
              </w:rPr>
              <w:t>Grand Total</w:t>
            </w:r>
          </w:p>
        </w:tc>
        <w:tc>
          <w:tcPr>
            <w:tcW w:w="1620" w:type="dxa"/>
            <w:noWrap/>
            <w:hideMark/>
          </w:tcPr>
          <w:p w14:paraId="57861B4C" w14:textId="77777777" w:rsidR="00F23C20" w:rsidRPr="00CE3C71" w:rsidRDefault="00F23C20" w:rsidP="00F23C20">
            <w:pPr>
              <w:rPr>
                <w:b/>
              </w:rPr>
            </w:pPr>
            <w:r w:rsidRPr="00CE3C71">
              <w:rPr>
                <w:b/>
              </w:rPr>
              <w:t>213.223</w:t>
            </w:r>
          </w:p>
        </w:tc>
      </w:tr>
    </w:tbl>
    <w:p w14:paraId="7361711E" w14:textId="77777777" w:rsidR="00E22917" w:rsidRPr="00CE3C71" w:rsidRDefault="00E22917" w:rsidP="00E22917">
      <w:pPr>
        <w:rPr>
          <w:b/>
        </w:rPr>
      </w:pPr>
    </w:p>
    <w:p w14:paraId="7C3D9371" w14:textId="77777777" w:rsidR="00E22917" w:rsidRPr="00CE3C71" w:rsidRDefault="00E22917" w:rsidP="00E22917">
      <w:pPr>
        <w:rPr>
          <w:b/>
        </w:rPr>
      </w:pPr>
    </w:p>
    <w:p w14:paraId="1BDA209E" w14:textId="77777777" w:rsidR="00E46D22" w:rsidRDefault="00E46D22" w:rsidP="00E106D7">
      <w:pPr>
        <w:jc w:val="center"/>
        <w:rPr>
          <w:b/>
        </w:rPr>
      </w:pPr>
    </w:p>
    <w:p w14:paraId="57BE0A40" w14:textId="77777777" w:rsidR="00E46D22" w:rsidRDefault="00E46D22" w:rsidP="00E46D22">
      <w:pPr>
        <w:rPr>
          <w:b/>
        </w:rPr>
      </w:pPr>
    </w:p>
    <w:p w14:paraId="14C85D58" w14:textId="77777777" w:rsidR="00E46D22" w:rsidRDefault="00E46D22" w:rsidP="00E46D22">
      <w:pPr>
        <w:rPr>
          <w:b/>
        </w:rPr>
      </w:pPr>
    </w:p>
    <w:p w14:paraId="2F420C06" w14:textId="77777777" w:rsidR="007A5EA6" w:rsidRPr="00E46D22" w:rsidRDefault="00E22917" w:rsidP="00E46D22">
      <w:pPr>
        <w:jc w:val="center"/>
        <w:rPr>
          <w:b/>
          <w:sz w:val="28"/>
          <w:szCs w:val="28"/>
        </w:rPr>
      </w:pPr>
      <w:r w:rsidRPr="00E46D22">
        <w:rPr>
          <w:b/>
          <w:sz w:val="28"/>
          <w:szCs w:val="28"/>
        </w:rPr>
        <w:t>Single Link</w:t>
      </w:r>
    </w:p>
    <w:p w14:paraId="602FFBEB" w14:textId="77777777" w:rsidR="00E46D22" w:rsidRPr="00CE3C71" w:rsidRDefault="00E46D22" w:rsidP="00E106D7">
      <w:pPr>
        <w:jc w:val="center"/>
        <w:rPr>
          <w:b/>
        </w:rPr>
      </w:pPr>
    </w:p>
    <w:tbl>
      <w:tblPr>
        <w:tblStyle w:val="TableGrid"/>
        <w:tblW w:w="11511" w:type="dxa"/>
        <w:tblInd w:w="-1256" w:type="dxa"/>
        <w:tblLayout w:type="fixed"/>
        <w:tblLook w:val="04A0" w:firstRow="1" w:lastRow="0" w:firstColumn="1" w:lastColumn="0" w:noHBand="0" w:noVBand="1"/>
      </w:tblPr>
      <w:tblGrid>
        <w:gridCol w:w="1170"/>
        <w:gridCol w:w="6831"/>
        <w:gridCol w:w="1350"/>
        <w:gridCol w:w="900"/>
        <w:gridCol w:w="1260"/>
      </w:tblGrid>
      <w:tr w:rsidR="00E46D22" w:rsidRPr="00CE3C71" w14:paraId="59D7FBB3" w14:textId="77777777" w:rsidTr="00E46D22">
        <w:trPr>
          <w:trHeight w:val="90"/>
        </w:trPr>
        <w:tc>
          <w:tcPr>
            <w:tcW w:w="1170" w:type="dxa"/>
            <w:noWrap/>
            <w:hideMark/>
          </w:tcPr>
          <w:p w14:paraId="13D4040B" w14:textId="550C2B8D" w:rsidR="007A5EA6" w:rsidRPr="00CE3C71" w:rsidRDefault="007A5EA6" w:rsidP="007A5EA6">
            <w:pPr>
              <w:jc w:val="center"/>
              <w:rPr>
                <w:b/>
              </w:rPr>
            </w:pPr>
            <w:r w:rsidRPr="00CE3C71">
              <w:rPr>
                <w:b/>
              </w:rPr>
              <w:lastRenderedPageBreak/>
              <w:t>Cluster</w:t>
            </w:r>
          </w:p>
        </w:tc>
        <w:tc>
          <w:tcPr>
            <w:tcW w:w="6831" w:type="dxa"/>
            <w:noWrap/>
            <w:hideMark/>
          </w:tcPr>
          <w:p w14:paraId="47ABE6DF" w14:textId="77777777" w:rsidR="007A5EA6" w:rsidRPr="00CE3C71" w:rsidRDefault="007A5EA6" w:rsidP="007A5EA6">
            <w:pPr>
              <w:jc w:val="center"/>
              <w:rPr>
                <w:b/>
              </w:rPr>
            </w:pPr>
            <w:r w:rsidRPr="00CE3C71">
              <w:rPr>
                <w:b/>
              </w:rPr>
              <w:t>Centroid Values</w:t>
            </w:r>
          </w:p>
        </w:tc>
        <w:tc>
          <w:tcPr>
            <w:tcW w:w="1350" w:type="dxa"/>
            <w:noWrap/>
            <w:hideMark/>
          </w:tcPr>
          <w:p w14:paraId="28C4E0CA" w14:textId="77777777" w:rsidR="007A5EA6" w:rsidRPr="00CE3C71" w:rsidRDefault="007A5EA6" w:rsidP="007A5EA6">
            <w:pPr>
              <w:jc w:val="center"/>
              <w:rPr>
                <w:b/>
              </w:rPr>
            </w:pPr>
            <w:r w:rsidRPr="00CE3C71">
              <w:rPr>
                <w:b/>
              </w:rPr>
              <w:t>Data Per Cluster</w:t>
            </w:r>
          </w:p>
        </w:tc>
        <w:tc>
          <w:tcPr>
            <w:tcW w:w="2160" w:type="dxa"/>
            <w:gridSpan w:val="2"/>
            <w:noWrap/>
            <w:hideMark/>
          </w:tcPr>
          <w:p w14:paraId="23F06ED1" w14:textId="77777777" w:rsidR="007A5EA6" w:rsidRPr="00CE3C71" w:rsidRDefault="007A5EA6" w:rsidP="007A5EA6">
            <w:pPr>
              <w:jc w:val="center"/>
              <w:rPr>
                <w:b/>
              </w:rPr>
            </w:pPr>
            <w:r w:rsidRPr="00CE3C71">
              <w:rPr>
                <w:b/>
              </w:rPr>
              <w:t>SSE</w:t>
            </w:r>
          </w:p>
        </w:tc>
      </w:tr>
      <w:tr w:rsidR="00E46D22" w:rsidRPr="00CE3C71" w14:paraId="0B0725CC" w14:textId="77777777" w:rsidTr="00E46D22">
        <w:trPr>
          <w:trHeight w:val="320"/>
        </w:trPr>
        <w:tc>
          <w:tcPr>
            <w:tcW w:w="1170" w:type="dxa"/>
            <w:noWrap/>
            <w:hideMark/>
          </w:tcPr>
          <w:p w14:paraId="4DDFEF92" w14:textId="77777777" w:rsidR="007A5EA6" w:rsidRPr="00CE3C71" w:rsidRDefault="007A5EA6" w:rsidP="007A5EA6">
            <w:pPr>
              <w:jc w:val="center"/>
              <w:rPr>
                <w:b/>
              </w:rPr>
            </w:pPr>
            <w:r w:rsidRPr="00CE3C71">
              <w:rPr>
                <w:b/>
              </w:rPr>
              <w:t>0</w:t>
            </w:r>
          </w:p>
        </w:tc>
        <w:tc>
          <w:tcPr>
            <w:tcW w:w="6831" w:type="dxa"/>
            <w:noWrap/>
            <w:hideMark/>
          </w:tcPr>
          <w:p w14:paraId="22F6A34F" w14:textId="77777777" w:rsidR="007A5EA6" w:rsidRPr="00CE3C71" w:rsidRDefault="007A5EA6" w:rsidP="007A5EA6">
            <w:pPr>
              <w:jc w:val="center"/>
              <w:rPr>
                <w:b/>
              </w:rPr>
            </w:pPr>
            <w:r w:rsidRPr="00CE3C71">
              <w:rPr>
                <w:b/>
              </w:rPr>
              <w:t>SIN_CORTEX, SIN_CAPA_INTERNA_DEL_CORTEX, SI , 1.521, SIN_TILOSTILOS_ADICIONALES, SIN_ESPICULA_PRINCIPAL_ESTILO, 2.26027397260274, 0.9315068493150684, OTROS</w:t>
            </w:r>
          </w:p>
        </w:tc>
        <w:tc>
          <w:tcPr>
            <w:tcW w:w="1350" w:type="dxa"/>
            <w:noWrap/>
            <w:hideMark/>
          </w:tcPr>
          <w:p w14:paraId="6AE3DD6C" w14:textId="77777777" w:rsidR="007A5EA6" w:rsidRPr="00CE3C71" w:rsidRDefault="007A5EA6" w:rsidP="007A5EA6">
            <w:pPr>
              <w:jc w:val="center"/>
              <w:rPr>
                <w:b/>
              </w:rPr>
            </w:pPr>
            <w:r w:rsidRPr="00CE3C71">
              <w:rPr>
                <w:b/>
              </w:rPr>
              <w:t>73</w:t>
            </w:r>
          </w:p>
        </w:tc>
        <w:tc>
          <w:tcPr>
            <w:tcW w:w="900" w:type="dxa"/>
            <w:noWrap/>
            <w:hideMark/>
          </w:tcPr>
          <w:p w14:paraId="42B25C44" w14:textId="77777777" w:rsidR="007A5EA6" w:rsidRPr="00CE3C71" w:rsidRDefault="007A5EA6" w:rsidP="007A5EA6">
            <w:pPr>
              <w:jc w:val="center"/>
              <w:rPr>
                <w:b/>
              </w:rPr>
            </w:pPr>
          </w:p>
        </w:tc>
        <w:tc>
          <w:tcPr>
            <w:tcW w:w="1260" w:type="dxa"/>
            <w:noWrap/>
            <w:hideMark/>
          </w:tcPr>
          <w:p w14:paraId="4F8A630F" w14:textId="77777777" w:rsidR="007A5EA6" w:rsidRPr="00CE3C71" w:rsidRDefault="007A5EA6" w:rsidP="007A5EA6">
            <w:pPr>
              <w:jc w:val="center"/>
              <w:rPr>
                <w:b/>
              </w:rPr>
            </w:pPr>
            <w:r w:rsidRPr="00CE3C71">
              <w:rPr>
                <w:b/>
              </w:rPr>
              <w:t>511.932</w:t>
            </w:r>
          </w:p>
        </w:tc>
      </w:tr>
      <w:tr w:rsidR="00E46D22" w:rsidRPr="00CE3C71" w14:paraId="55BB95B1" w14:textId="77777777" w:rsidTr="00E46D22">
        <w:trPr>
          <w:trHeight w:val="320"/>
        </w:trPr>
        <w:tc>
          <w:tcPr>
            <w:tcW w:w="1170" w:type="dxa"/>
            <w:noWrap/>
            <w:hideMark/>
          </w:tcPr>
          <w:p w14:paraId="2C41B371" w14:textId="77777777" w:rsidR="007A5EA6" w:rsidRPr="00CE3C71" w:rsidRDefault="007A5EA6" w:rsidP="007A5EA6">
            <w:pPr>
              <w:jc w:val="center"/>
              <w:rPr>
                <w:b/>
              </w:rPr>
            </w:pPr>
            <w:r w:rsidRPr="00CE3C71">
              <w:rPr>
                <w:b/>
              </w:rPr>
              <w:t>1</w:t>
            </w:r>
          </w:p>
        </w:tc>
        <w:tc>
          <w:tcPr>
            <w:tcW w:w="6831" w:type="dxa"/>
            <w:noWrap/>
            <w:hideMark/>
          </w:tcPr>
          <w:p w14:paraId="6F8DAF98" w14:textId="77777777" w:rsidR="007A5EA6" w:rsidRPr="00CE3C71" w:rsidRDefault="007A5EA6" w:rsidP="007A5EA6">
            <w:pPr>
              <w:jc w:val="center"/>
              <w:rPr>
                <w:b/>
              </w:rPr>
            </w:pPr>
            <w:r w:rsidRPr="00CE3C71">
              <w:rPr>
                <w:b/>
              </w:rPr>
              <w:t>1_CAPA, SIN_CAPA_INTERNA_DEL_CORTEX, SI, 4.0, SIN_TILOSTILOS_ADICIONALES, SIN_ESPICULA_PRINCIPAL_ESTILO ,1.0, 3.0, OTROS</w:t>
            </w:r>
          </w:p>
        </w:tc>
        <w:tc>
          <w:tcPr>
            <w:tcW w:w="1350" w:type="dxa"/>
            <w:noWrap/>
            <w:hideMark/>
          </w:tcPr>
          <w:p w14:paraId="2996473E" w14:textId="77777777" w:rsidR="007A5EA6" w:rsidRPr="00CE3C71" w:rsidRDefault="007A5EA6" w:rsidP="007A5EA6">
            <w:pPr>
              <w:jc w:val="center"/>
              <w:rPr>
                <w:b/>
              </w:rPr>
            </w:pPr>
            <w:r w:rsidRPr="00CE3C71">
              <w:rPr>
                <w:b/>
              </w:rPr>
              <w:t>1</w:t>
            </w:r>
          </w:p>
        </w:tc>
        <w:tc>
          <w:tcPr>
            <w:tcW w:w="900" w:type="dxa"/>
            <w:noWrap/>
            <w:hideMark/>
          </w:tcPr>
          <w:p w14:paraId="0537D418" w14:textId="77777777" w:rsidR="007A5EA6" w:rsidRPr="00CE3C71" w:rsidRDefault="007A5EA6" w:rsidP="007A5EA6">
            <w:pPr>
              <w:jc w:val="center"/>
              <w:rPr>
                <w:b/>
              </w:rPr>
            </w:pPr>
          </w:p>
        </w:tc>
        <w:tc>
          <w:tcPr>
            <w:tcW w:w="1260" w:type="dxa"/>
            <w:noWrap/>
            <w:hideMark/>
          </w:tcPr>
          <w:p w14:paraId="49D04388" w14:textId="77777777" w:rsidR="007A5EA6" w:rsidRPr="00CE3C71" w:rsidRDefault="007A5EA6" w:rsidP="007A5EA6">
            <w:pPr>
              <w:jc w:val="center"/>
              <w:rPr>
                <w:b/>
              </w:rPr>
            </w:pPr>
            <w:r w:rsidRPr="00CE3C71">
              <w:rPr>
                <w:b/>
              </w:rPr>
              <w:t>0</w:t>
            </w:r>
          </w:p>
        </w:tc>
      </w:tr>
      <w:tr w:rsidR="00E46D22" w:rsidRPr="00CE3C71" w14:paraId="3E6D0781" w14:textId="77777777" w:rsidTr="00E46D22">
        <w:trPr>
          <w:trHeight w:val="320"/>
        </w:trPr>
        <w:tc>
          <w:tcPr>
            <w:tcW w:w="1170" w:type="dxa"/>
            <w:noWrap/>
            <w:hideMark/>
          </w:tcPr>
          <w:p w14:paraId="186A869D" w14:textId="77777777" w:rsidR="007A5EA6" w:rsidRPr="00CE3C71" w:rsidRDefault="007A5EA6" w:rsidP="007A5EA6">
            <w:pPr>
              <w:jc w:val="center"/>
              <w:rPr>
                <w:b/>
              </w:rPr>
            </w:pPr>
            <w:r w:rsidRPr="00CE3C71">
              <w:rPr>
                <w:b/>
              </w:rPr>
              <w:t>2</w:t>
            </w:r>
          </w:p>
        </w:tc>
        <w:tc>
          <w:tcPr>
            <w:tcW w:w="6831" w:type="dxa"/>
            <w:noWrap/>
            <w:hideMark/>
          </w:tcPr>
          <w:p w14:paraId="49BAEA4F" w14:textId="77777777" w:rsidR="007A5EA6" w:rsidRPr="00CE3C71" w:rsidRDefault="007A5EA6" w:rsidP="007A5EA6">
            <w:pPr>
              <w:jc w:val="center"/>
              <w:rPr>
                <w:b/>
              </w:rPr>
            </w:pPr>
            <w:r w:rsidRPr="00CE3C71">
              <w:rPr>
                <w:b/>
              </w:rPr>
              <w:t>3_CAPAS, TANGENCIAL, SI, 3.0, ECTOSOMICOS_DISPERSOS, FUSIFORME, 3.0, 4.0, ?</w:t>
            </w:r>
          </w:p>
        </w:tc>
        <w:tc>
          <w:tcPr>
            <w:tcW w:w="1350" w:type="dxa"/>
            <w:noWrap/>
            <w:hideMark/>
          </w:tcPr>
          <w:p w14:paraId="22BBB829" w14:textId="77777777" w:rsidR="007A5EA6" w:rsidRPr="00CE3C71" w:rsidRDefault="007A5EA6" w:rsidP="007A5EA6">
            <w:pPr>
              <w:jc w:val="center"/>
              <w:rPr>
                <w:b/>
              </w:rPr>
            </w:pPr>
            <w:r w:rsidRPr="00CE3C71">
              <w:rPr>
                <w:b/>
              </w:rPr>
              <w:t>1</w:t>
            </w:r>
          </w:p>
        </w:tc>
        <w:tc>
          <w:tcPr>
            <w:tcW w:w="900" w:type="dxa"/>
            <w:noWrap/>
            <w:hideMark/>
          </w:tcPr>
          <w:p w14:paraId="1694C01C" w14:textId="77777777" w:rsidR="007A5EA6" w:rsidRPr="00CE3C71" w:rsidRDefault="007A5EA6" w:rsidP="007A5EA6">
            <w:pPr>
              <w:jc w:val="center"/>
              <w:rPr>
                <w:b/>
              </w:rPr>
            </w:pPr>
          </w:p>
        </w:tc>
        <w:tc>
          <w:tcPr>
            <w:tcW w:w="1260" w:type="dxa"/>
            <w:noWrap/>
            <w:hideMark/>
          </w:tcPr>
          <w:p w14:paraId="639AA306" w14:textId="77777777" w:rsidR="007A5EA6" w:rsidRPr="00CE3C71" w:rsidRDefault="007A5EA6" w:rsidP="007A5EA6">
            <w:pPr>
              <w:jc w:val="center"/>
              <w:rPr>
                <w:b/>
              </w:rPr>
            </w:pPr>
            <w:r w:rsidRPr="00CE3C71">
              <w:rPr>
                <w:b/>
              </w:rPr>
              <w:t>1</w:t>
            </w:r>
          </w:p>
        </w:tc>
      </w:tr>
      <w:tr w:rsidR="00E46D22" w:rsidRPr="00CE3C71" w14:paraId="562C13CF" w14:textId="77777777" w:rsidTr="00E46D22">
        <w:trPr>
          <w:trHeight w:val="320"/>
        </w:trPr>
        <w:tc>
          <w:tcPr>
            <w:tcW w:w="1170" w:type="dxa"/>
            <w:noWrap/>
            <w:hideMark/>
          </w:tcPr>
          <w:p w14:paraId="77C5B009" w14:textId="77777777" w:rsidR="007A5EA6" w:rsidRPr="00CE3C71" w:rsidRDefault="007A5EA6" w:rsidP="007A5EA6">
            <w:pPr>
              <w:jc w:val="center"/>
              <w:rPr>
                <w:b/>
              </w:rPr>
            </w:pPr>
            <w:r w:rsidRPr="00CE3C71">
              <w:rPr>
                <w:b/>
              </w:rPr>
              <w:t>3</w:t>
            </w:r>
          </w:p>
        </w:tc>
        <w:tc>
          <w:tcPr>
            <w:tcW w:w="6831" w:type="dxa"/>
            <w:hideMark/>
          </w:tcPr>
          <w:p w14:paraId="75FF30BE" w14:textId="77777777" w:rsidR="007A5EA6" w:rsidRPr="00CE3C71" w:rsidRDefault="007A5EA6" w:rsidP="007A5EA6">
            <w:pPr>
              <w:jc w:val="center"/>
              <w:rPr>
                <w:b/>
              </w:rPr>
            </w:pPr>
            <w:r w:rsidRPr="00CE3C71">
              <w:rPr>
                <w:b/>
              </w:rPr>
              <w:t>3_CAPAS, TANGENCIAL, SI , 2.0, SIN_TILOSTILOS_ADICIONALES, SIN_ESPICULA_PRINCIPAL_ESTILO, 1.0, 0.0, ?</w:t>
            </w:r>
          </w:p>
        </w:tc>
        <w:tc>
          <w:tcPr>
            <w:tcW w:w="1350" w:type="dxa"/>
            <w:noWrap/>
            <w:hideMark/>
          </w:tcPr>
          <w:p w14:paraId="59FDE361" w14:textId="77777777" w:rsidR="007A5EA6" w:rsidRPr="00CE3C71" w:rsidRDefault="007A5EA6" w:rsidP="007A5EA6">
            <w:pPr>
              <w:jc w:val="center"/>
              <w:rPr>
                <w:b/>
              </w:rPr>
            </w:pPr>
            <w:r w:rsidRPr="00CE3C71">
              <w:rPr>
                <w:b/>
              </w:rPr>
              <w:t>1</w:t>
            </w:r>
          </w:p>
        </w:tc>
        <w:tc>
          <w:tcPr>
            <w:tcW w:w="900" w:type="dxa"/>
            <w:noWrap/>
            <w:hideMark/>
          </w:tcPr>
          <w:p w14:paraId="7C08F1E7" w14:textId="77777777" w:rsidR="007A5EA6" w:rsidRPr="00CE3C71" w:rsidRDefault="007A5EA6" w:rsidP="007A5EA6">
            <w:pPr>
              <w:jc w:val="center"/>
              <w:rPr>
                <w:b/>
              </w:rPr>
            </w:pPr>
          </w:p>
        </w:tc>
        <w:tc>
          <w:tcPr>
            <w:tcW w:w="1260" w:type="dxa"/>
            <w:noWrap/>
            <w:hideMark/>
          </w:tcPr>
          <w:p w14:paraId="7E3519CF" w14:textId="77777777" w:rsidR="007A5EA6" w:rsidRPr="00CE3C71" w:rsidRDefault="007A5EA6" w:rsidP="007A5EA6">
            <w:pPr>
              <w:jc w:val="center"/>
              <w:rPr>
                <w:b/>
              </w:rPr>
            </w:pPr>
            <w:r w:rsidRPr="00CE3C71">
              <w:rPr>
                <w:b/>
              </w:rPr>
              <w:t>1</w:t>
            </w:r>
          </w:p>
        </w:tc>
      </w:tr>
      <w:tr w:rsidR="00E46D22" w:rsidRPr="00CE3C71" w14:paraId="36F52206" w14:textId="77777777" w:rsidTr="00E46D22">
        <w:trPr>
          <w:trHeight w:val="320"/>
        </w:trPr>
        <w:tc>
          <w:tcPr>
            <w:tcW w:w="1170" w:type="dxa"/>
            <w:noWrap/>
            <w:hideMark/>
          </w:tcPr>
          <w:p w14:paraId="7400BE8B" w14:textId="77777777" w:rsidR="007A5EA6" w:rsidRPr="00CE3C71" w:rsidRDefault="007A5EA6" w:rsidP="007A5EA6">
            <w:pPr>
              <w:jc w:val="center"/>
              <w:rPr>
                <w:b/>
              </w:rPr>
            </w:pPr>
          </w:p>
        </w:tc>
        <w:tc>
          <w:tcPr>
            <w:tcW w:w="6831" w:type="dxa"/>
            <w:noWrap/>
            <w:hideMark/>
          </w:tcPr>
          <w:p w14:paraId="5B9ACC3C" w14:textId="77777777" w:rsidR="007A5EA6" w:rsidRPr="00CE3C71" w:rsidRDefault="007A5EA6" w:rsidP="007A5EA6">
            <w:pPr>
              <w:jc w:val="center"/>
              <w:rPr>
                <w:b/>
              </w:rPr>
            </w:pPr>
          </w:p>
        </w:tc>
        <w:tc>
          <w:tcPr>
            <w:tcW w:w="1350" w:type="dxa"/>
            <w:noWrap/>
            <w:hideMark/>
          </w:tcPr>
          <w:p w14:paraId="5C9A0FCF" w14:textId="77777777" w:rsidR="007A5EA6" w:rsidRPr="00CE3C71" w:rsidRDefault="007A5EA6" w:rsidP="007A5EA6">
            <w:pPr>
              <w:jc w:val="center"/>
              <w:rPr>
                <w:b/>
              </w:rPr>
            </w:pPr>
          </w:p>
        </w:tc>
        <w:tc>
          <w:tcPr>
            <w:tcW w:w="900" w:type="dxa"/>
            <w:noWrap/>
            <w:hideMark/>
          </w:tcPr>
          <w:p w14:paraId="1D5D5543" w14:textId="77777777" w:rsidR="007A5EA6" w:rsidRPr="00CE3C71" w:rsidRDefault="007A5EA6" w:rsidP="007A5EA6">
            <w:pPr>
              <w:jc w:val="center"/>
              <w:rPr>
                <w:b/>
              </w:rPr>
            </w:pPr>
            <w:r w:rsidRPr="00CE3C71">
              <w:rPr>
                <w:b/>
              </w:rPr>
              <w:t>Grand Total</w:t>
            </w:r>
          </w:p>
        </w:tc>
        <w:tc>
          <w:tcPr>
            <w:tcW w:w="1260" w:type="dxa"/>
            <w:noWrap/>
            <w:hideMark/>
          </w:tcPr>
          <w:p w14:paraId="209CB5BF" w14:textId="77777777" w:rsidR="007A5EA6" w:rsidRPr="00CE3C71" w:rsidRDefault="007A5EA6" w:rsidP="007A5EA6">
            <w:pPr>
              <w:jc w:val="center"/>
              <w:rPr>
                <w:b/>
              </w:rPr>
            </w:pPr>
            <w:r w:rsidRPr="00CE3C71">
              <w:rPr>
                <w:b/>
              </w:rPr>
              <w:t>513.932</w:t>
            </w:r>
          </w:p>
        </w:tc>
      </w:tr>
    </w:tbl>
    <w:p w14:paraId="52F0E540" w14:textId="77777777" w:rsidR="00BB01B8" w:rsidRDefault="0059799C">
      <w:pPr>
        <w:rPr>
          <w:sz w:val="40"/>
          <w:szCs w:val="40"/>
        </w:rPr>
      </w:pPr>
      <w:r w:rsidRPr="0059799C">
        <w:rPr>
          <w:sz w:val="40"/>
          <w:szCs w:val="40"/>
        </w:rPr>
        <w:t>Iris Data</w:t>
      </w:r>
    </w:p>
    <w:p w14:paraId="013EA7F6" w14:textId="5E4395ED" w:rsidR="00AA4755" w:rsidRPr="00AA4755" w:rsidRDefault="00AA4755">
      <w:r>
        <w:t xml:space="preserve">So as you can see in the results below, </w:t>
      </w:r>
      <w:r w:rsidR="00DC0338">
        <w:t>it seems that the complete link method seemed to work just about the same whether we include the output or not, while the single link seemed to work better with the last output included.  I assume then that the last data set has</w:t>
      </w:r>
      <w:r w:rsidR="00D134F3">
        <w:t xml:space="preserve"> the effect of making the distances more accurate and</w:t>
      </w:r>
      <w:r w:rsidR="004230A5">
        <w:t xml:space="preserve"> precise for complete single link distances.  For both of them it also appears that making more clusters lowers the SSE because the clusters are able to be better divided. </w:t>
      </w:r>
      <w:r w:rsidR="00C62DDF">
        <w:t xml:space="preserve">  As for the K means it appears that the values fluctuate depending on which initial centroid is chosen.  This makes sense because</w:t>
      </w:r>
      <w:r w:rsidR="00730A2E">
        <w:t xml:space="preserve"> if poorly chosen centroids are selected, then it can be harder to split the data into the corresponding centroids</w:t>
      </w:r>
      <w:r w:rsidR="005F5152">
        <w:t xml:space="preserve"> correctly</w:t>
      </w:r>
      <w:r w:rsidR="00730A2E">
        <w:t>.</w:t>
      </w:r>
      <w:r w:rsidR="000247F8">
        <w:t xml:space="preserve"> I didn’t normalize the data. </w:t>
      </w:r>
      <w:r w:rsidR="00730A2E">
        <w:t xml:space="preserve"> </w:t>
      </w:r>
      <w:r w:rsidR="0054206B">
        <w:t xml:space="preserve">For kmeans it didn’t seem to matter if the output was included or not. </w:t>
      </w:r>
      <w:r w:rsidR="00415144">
        <w:t xml:space="preserve"> This would imply that the distance for kmeans isn’t affected with the output</w:t>
      </w:r>
      <w:r w:rsidR="004D5090">
        <w:t xml:space="preserve"> value</w:t>
      </w:r>
      <w:bookmarkStart w:id="1" w:name="_GoBack"/>
      <w:bookmarkEnd w:id="1"/>
      <w:r w:rsidR="00415144">
        <w:t xml:space="preserve">.  </w:t>
      </w:r>
    </w:p>
    <w:p w14:paraId="291071E5" w14:textId="77777777" w:rsidR="002E7DAB" w:rsidRDefault="002E7DAB">
      <w:pPr>
        <w:rPr>
          <w:sz w:val="40"/>
          <w:szCs w:val="40"/>
        </w:rPr>
      </w:pPr>
    </w:p>
    <w:bookmarkEnd w:id="0"/>
    <w:p w14:paraId="5AB38709" w14:textId="6239E5CC" w:rsidR="007E15D5" w:rsidRDefault="002E7DAB">
      <w:pPr>
        <w:rPr>
          <w:b/>
          <w:sz w:val="28"/>
          <w:szCs w:val="28"/>
        </w:rPr>
      </w:pPr>
      <w:r w:rsidRPr="002E7DAB">
        <w:rPr>
          <w:b/>
          <w:sz w:val="28"/>
          <w:szCs w:val="28"/>
        </w:rPr>
        <w:t>K-</w:t>
      </w:r>
      <w:r w:rsidR="00127879" w:rsidRPr="002E7DAB">
        <w:rPr>
          <w:b/>
          <w:sz w:val="28"/>
          <w:szCs w:val="28"/>
        </w:rPr>
        <w:t>means</w:t>
      </w:r>
    </w:p>
    <w:p w14:paraId="4BB5B49A" w14:textId="2223BEE4" w:rsidR="002E7DAB" w:rsidRDefault="0032787D">
      <w:pPr>
        <w:rPr>
          <w:b/>
          <w:sz w:val="28"/>
          <w:szCs w:val="28"/>
        </w:rPr>
      </w:pPr>
      <w:r>
        <w:rPr>
          <w:noProof/>
        </w:rPr>
        <w:drawing>
          <wp:inline distT="0" distB="0" distL="0" distR="0" wp14:anchorId="505F0858" wp14:editId="0D625987">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AA43B43" w14:textId="77777777" w:rsidR="002E7DAB" w:rsidRDefault="002E7DAB">
      <w:pPr>
        <w:rPr>
          <w:b/>
          <w:sz w:val="28"/>
          <w:szCs w:val="28"/>
        </w:rPr>
      </w:pPr>
    </w:p>
    <w:p w14:paraId="49824445" w14:textId="77777777" w:rsidR="002E7DAB" w:rsidRDefault="002E7DAB">
      <w:pPr>
        <w:rPr>
          <w:b/>
          <w:sz w:val="28"/>
          <w:szCs w:val="28"/>
        </w:rPr>
      </w:pPr>
    </w:p>
    <w:p w14:paraId="05A5C96B" w14:textId="77777777" w:rsidR="00C62DDF" w:rsidRDefault="00C62DDF">
      <w:pPr>
        <w:rPr>
          <w:b/>
          <w:sz w:val="28"/>
          <w:szCs w:val="28"/>
        </w:rPr>
      </w:pPr>
    </w:p>
    <w:p w14:paraId="2581D71F" w14:textId="3D4C7326" w:rsidR="002E7DAB" w:rsidRDefault="002E7DAB">
      <w:pPr>
        <w:rPr>
          <w:b/>
          <w:sz w:val="28"/>
          <w:szCs w:val="28"/>
        </w:rPr>
      </w:pPr>
      <w:r>
        <w:rPr>
          <w:b/>
          <w:sz w:val="28"/>
          <w:szCs w:val="28"/>
        </w:rPr>
        <w:t>Complete Link</w:t>
      </w:r>
    </w:p>
    <w:p w14:paraId="012681C1" w14:textId="0C1B2786" w:rsidR="002E7DAB" w:rsidRDefault="00133A41">
      <w:pPr>
        <w:rPr>
          <w:b/>
          <w:sz w:val="28"/>
          <w:szCs w:val="28"/>
        </w:rPr>
      </w:pPr>
      <w:r>
        <w:rPr>
          <w:noProof/>
        </w:rPr>
        <w:drawing>
          <wp:inline distT="0" distB="0" distL="0" distR="0" wp14:anchorId="08C7EB25" wp14:editId="7832D94A">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9EF536" w14:textId="77777777" w:rsidR="002E7DAB" w:rsidRDefault="002E7DAB">
      <w:pPr>
        <w:rPr>
          <w:b/>
          <w:sz w:val="28"/>
          <w:szCs w:val="28"/>
        </w:rPr>
      </w:pPr>
    </w:p>
    <w:p w14:paraId="38EA4ED3" w14:textId="0FDEC7AD" w:rsidR="002E7DAB" w:rsidRPr="002E7DAB" w:rsidRDefault="002E7DAB">
      <w:pPr>
        <w:rPr>
          <w:b/>
          <w:sz w:val="28"/>
          <w:szCs w:val="28"/>
        </w:rPr>
      </w:pPr>
      <w:r>
        <w:rPr>
          <w:b/>
          <w:sz w:val="28"/>
          <w:szCs w:val="28"/>
        </w:rPr>
        <w:t>Single Link</w:t>
      </w:r>
    </w:p>
    <w:p w14:paraId="6231BC44" w14:textId="16AFE9BC" w:rsidR="002E7DAB" w:rsidRPr="002E7DAB" w:rsidRDefault="00133A41">
      <w:pPr>
        <w:rPr>
          <w:b/>
          <w:sz w:val="28"/>
          <w:szCs w:val="28"/>
        </w:rPr>
      </w:pPr>
      <w:r>
        <w:rPr>
          <w:noProof/>
        </w:rPr>
        <w:drawing>
          <wp:inline distT="0" distB="0" distL="0" distR="0" wp14:anchorId="75A68D50" wp14:editId="17DC146C">
            <wp:extent cx="46482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2CB968" w14:textId="77777777" w:rsidR="00C62DDF" w:rsidRDefault="00C62DDF" w:rsidP="00DD2FD8">
      <w:pPr>
        <w:rPr>
          <w:sz w:val="40"/>
          <w:szCs w:val="40"/>
        </w:rPr>
      </w:pPr>
    </w:p>
    <w:p w14:paraId="34503BA2" w14:textId="77777777" w:rsidR="00DD2FD8" w:rsidRDefault="00DD2FD8" w:rsidP="00DD2FD8">
      <w:pPr>
        <w:rPr>
          <w:sz w:val="40"/>
          <w:szCs w:val="40"/>
        </w:rPr>
      </w:pPr>
      <w:r>
        <w:rPr>
          <w:sz w:val="40"/>
          <w:szCs w:val="40"/>
        </w:rPr>
        <w:t>Abalone</w:t>
      </w:r>
    </w:p>
    <w:p w14:paraId="5860A5FF" w14:textId="727EA702" w:rsidR="00C62DDF" w:rsidRPr="004F338F" w:rsidRDefault="004F338F" w:rsidP="00DD2FD8">
      <w:r>
        <w:t>For the abalone data set we do indeed want</w:t>
      </w:r>
      <w:r w:rsidR="004E3235">
        <w:t xml:space="preserve"> to Normalize the data as that significantly lowers the SSE</w:t>
      </w:r>
      <w:r w:rsidR="0054206B">
        <w:t xml:space="preserve"> for every method that I ran</w:t>
      </w:r>
      <w:r w:rsidR="004E3235">
        <w:t>.  Also we want</w:t>
      </w:r>
      <w:r w:rsidR="003326B6">
        <w:t xml:space="preserve"> to </w:t>
      </w:r>
      <w:r w:rsidR="0054206B">
        <w:t xml:space="preserve">use the rings as continuous variables (which is what I did), because that variable definitely has a numeric value and thus distance between the rings can be actually measured with a Euclidean distance and would have meaning while using it categorically would detract some meaning and purpose from those values and would make it a lot more likely to not contribute to the distance score metric. </w:t>
      </w:r>
    </w:p>
    <w:p w14:paraId="5CAD4949" w14:textId="28E3A0D7" w:rsidR="002E7DAB" w:rsidRDefault="00230003" w:rsidP="002E7DAB">
      <w:pPr>
        <w:rPr>
          <w:b/>
          <w:sz w:val="28"/>
          <w:szCs w:val="28"/>
        </w:rPr>
      </w:pPr>
      <w:r>
        <w:rPr>
          <w:b/>
          <w:sz w:val="28"/>
          <w:szCs w:val="28"/>
        </w:rPr>
        <w:t>Normalized</w:t>
      </w:r>
    </w:p>
    <w:p w14:paraId="0B752A47" w14:textId="392A0375" w:rsidR="00230003" w:rsidRDefault="009D3D99" w:rsidP="002E7DAB">
      <w:pPr>
        <w:rPr>
          <w:b/>
          <w:sz w:val="28"/>
          <w:szCs w:val="28"/>
        </w:rPr>
      </w:pPr>
      <w:r>
        <w:rPr>
          <w:noProof/>
        </w:rPr>
        <w:drawing>
          <wp:inline distT="0" distB="0" distL="0" distR="0" wp14:anchorId="1BD3791F" wp14:editId="5FDBF022">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9E10AD" w14:textId="77777777" w:rsidR="00230003" w:rsidRDefault="00230003" w:rsidP="002E7DAB">
      <w:pPr>
        <w:rPr>
          <w:b/>
          <w:sz w:val="28"/>
          <w:szCs w:val="28"/>
        </w:rPr>
      </w:pPr>
    </w:p>
    <w:p w14:paraId="2DF29C02" w14:textId="4F57C66D" w:rsidR="00230003" w:rsidRDefault="00230003" w:rsidP="002E7DAB">
      <w:pPr>
        <w:rPr>
          <w:b/>
          <w:sz w:val="28"/>
          <w:szCs w:val="28"/>
        </w:rPr>
      </w:pPr>
      <w:r>
        <w:rPr>
          <w:b/>
          <w:sz w:val="28"/>
          <w:szCs w:val="28"/>
        </w:rPr>
        <w:t>Not Normalized</w:t>
      </w:r>
    </w:p>
    <w:p w14:paraId="7EE1562C" w14:textId="77777777" w:rsidR="002E7DAB" w:rsidRDefault="002E7DAB" w:rsidP="002E7DAB">
      <w:pPr>
        <w:rPr>
          <w:b/>
          <w:sz w:val="28"/>
          <w:szCs w:val="28"/>
        </w:rPr>
      </w:pPr>
    </w:p>
    <w:p w14:paraId="25B3E254" w14:textId="06E29A0C" w:rsidR="002E7DAB" w:rsidRDefault="009D3D99" w:rsidP="002E7DAB">
      <w:pPr>
        <w:rPr>
          <w:b/>
          <w:sz w:val="28"/>
          <w:szCs w:val="28"/>
        </w:rPr>
      </w:pPr>
      <w:r>
        <w:rPr>
          <w:noProof/>
        </w:rPr>
        <w:drawing>
          <wp:inline distT="0" distB="0" distL="0" distR="0" wp14:anchorId="3E3C6745" wp14:editId="139838AC">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FE6C3D" w14:textId="77777777" w:rsidR="002E7DAB" w:rsidRDefault="002E7DAB" w:rsidP="002E7DAB">
      <w:pPr>
        <w:rPr>
          <w:b/>
          <w:sz w:val="28"/>
          <w:szCs w:val="28"/>
        </w:rPr>
      </w:pPr>
    </w:p>
    <w:p w14:paraId="5F7B1743" w14:textId="77777777" w:rsidR="003B1C23" w:rsidRDefault="00C3274F" w:rsidP="00DD2FD8">
      <w:pPr>
        <w:rPr>
          <w:sz w:val="40"/>
          <w:szCs w:val="40"/>
        </w:rPr>
      </w:pPr>
      <w:r>
        <w:rPr>
          <w:sz w:val="40"/>
          <w:szCs w:val="40"/>
        </w:rPr>
        <w:t xml:space="preserve">Abalone </w:t>
      </w:r>
      <w:r w:rsidRPr="00C3274F">
        <w:rPr>
          <w:sz w:val="40"/>
          <w:szCs w:val="40"/>
        </w:rPr>
        <w:t>Silhouette</w:t>
      </w:r>
      <w:r>
        <w:rPr>
          <w:sz w:val="40"/>
          <w:szCs w:val="40"/>
        </w:rPr>
        <w:t xml:space="preserve"> Score</w:t>
      </w:r>
    </w:p>
    <w:p w14:paraId="6565B586" w14:textId="10383F2F" w:rsidR="0054206B" w:rsidRPr="003B1C23" w:rsidRDefault="0054206B" w:rsidP="00DD2FD8">
      <w:pPr>
        <w:rPr>
          <w:sz w:val="40"/>
          <w:szCs w:val="40"/>
        </w:rPr>
      </w:pPr>
      <w:r>
        <w:t xml:space="preserve">The abalone </w:t>
      </w:r>
      <w:r w:rsidR="003B1C23">
        <w:t>when ru</w:t>
      </w:r>
      <w:r>
        <w:t xml:space="preserve">n with the silhouette score definitely </w:t>
      </w:r>
      <w:r w:rsidR="00482AD2">
        <w:t xml:space="preserve">seemed to have some potential </w:t>
      </w:r>
      <w:r w:rsidR="003B1C23">
        <w:t>significance</w:t>
      </w:r>
      <w:r w:rsidR="00482AD2">
        <w:t>.  It seems that the higher the k</w:t>
      </w:r>
      <w:r w:rsidR="003B1C23">
        <w:t>-</w:t>
      </w:r>
      <w:r w:rsidR="00482AD2">
        <w:t xml:space="preserve">values for all of my methods that I ran the higher the </w:t>
      </w:r>
      <w:r w:rsidR="003B1C23">
        <w:t>Silhouette</w:t>
      </w:r>
      <w:r w:rsidR="00482AD2">
        <w:t xml:space="preserve"> score. </w:t>
      </w:r>
      <w:r w:rsidR="003B1C23">
        <w:t xml:space="preserve"> It still though seemed to have quite some variance among the different clusters.  This would make sense because some clusters are going to be closer to other clusters than others and the higher the score the more apart they are and the lower the score the closer they are(or that data is incorrectly assigned).  If split too much though, the values will start to go towards zero but as for this data set it seems that 7 is a good split. </w:t>
      </w:r>
    </w:p>
    <w:p w14:paraId="2C65AC24" w14:textId="77777777" w:rsidR="002E7DAB" w:rsidRDefault="002E7DAB" w:rsidP="002E7DAB">
      <w:pPr>
        <w:rPr>
          <w:b/>
          <w:sz w:val="28"/>
          <w:szCs w:val="28"/>
        </w:rPr>
      </w:pPr>
      <w:r w:rsidRPr="002E7DAB">
        <w:rPr>
          <w:b/>
          <w:sz w:val="28"/>
          <w:szCs w:val="28"/>
        </w:rPr>
        <w:t>K-means</w:t>
      </w:r>
    </w:p>
    <w:p w14:paraId="5389A81C" w14:textId="77777777" w:rsidR="002E7DAB" w:rsidRDefault="002E7DAB" w:rsidP="002E7DAB">
      <w:pPr>
        <w:rPr>
          <w:b/>
          <w:sz w:val="28"/>
          <w:szCs w:val="28"/>
        </w:rPr>
      </w:pPr>
    </w:p>
    <w:tbl>
      <w:tblPr>
        <w:tblStyle w:val="TableGrid"/>
        <w:tblW w:w="0" w:type="auto"/>
        <w:tblLook w:val="04A0" w:firstRow="1" w:lastRow="0" w:firstColumn="1" w:lastColumn="0" w:noHBand="0" w:noVBand="1"/>
      </w:tblPr>
      <w:tblGrid>
        <w:gridCol w:w="1146"/>
        <w:gridCol w:w="1334"/>
        <w:gridCol w:w="1145"/>
        <w:gridCol w:w="1145"/>
        <w:gridCol w:w="1145"/>
        <w:gridCol w:w="1145"/>
        <w:gridCol w:w="1145"/>
        <w:gridCol w:w="1145"/>
      </w:tblGrid>
      <w:tr w:rsidR="00FB08FE" w:rsidRPr="00FB08FE" w14:paraId="518EF937" w14:textId="77777777" w:rsidTr="00FB08FE">
        <w:trPr>
          <w:trHeight w:val="320"/>
        </w:trPr>
        <w:tc>
          <w:tcPr>
            <w:tcW w:w="1300" w:type="dxa"/>
            <w:noWrap/>
            <w:hideMark/>
          </w:tcPr>
          <w:p w14:paraId="019454EB" w14:textId="77777777" w:rsidR="00FB08FE" w:rsidRPr="00FB08FE" w:rsidRDefault="00FB08FE">
            <w:pPr>
              <w:rPr>
                <w:b/>
                <w:sz w:val="28"/>
                <w:szCs w:val="28"/>
              </w:rPr>
            </w:pPr>
            <w:r w:rsidRPr="00FB08FE">
              <w:rPr>
                <w:b/>
                <w:sz w:val="28"/>
                <w:szCs w:val="28"/>
              </w:rPr>
              <w:t>K-Values</w:t>
            </w:r>
          </w:p>
        </w:tc>
        <w:tc>
          <w:tcPr>
            <w:tcW w:w="1520" w:type="dxa"/>
            <w:noWrap/>
            <w:hideMark/>
          </w:tcPr>
          <w:p w14:paraId="328A6D20" w14:textId="77777777" w:rsidR="00FB08FE" w:rsidRPr="00FB08FE" w:rsidRDefault="00FB08FE" w:rsidP="00FB08FE">
            <w:pPr>
              <w:rPr>
                <w:b/>
                <w:sz w:val="28"/>
                <w:szCs w:val="28"/>
              </w:rPr>
            </w:pPr>
            <w:r w:rsidRPr="00FB08FE">
              <w:rPr>
                <w:b/>
                <w:sz w:val="28"/>
                <w:szCs w:val="28"/>
              </w:rPr>
              <w:t>0</w:t>
            </w:r>
          </w:p>
        </w:tc>
        <w:tc>
          <w:tcPr>
            <w:tcW w:w="1300" w:type="dxa"/>
            <w:noWrap/>
            <w:hideMark/>
          </w:tcPr>
          <w:p w14:paraId="03892F7C" w14:textId="77777777" w:rsidR="00FB08FE" w:rsidRPr="00FB08FE" w:rsidRDefault="00FB08FE" w:rsidP="00FB08FE">
            <w:pPr>
              <w:rPr>
                <w:b/>
                <w:sz w:val="28"/>
                <w:szCs w:val="28"/>
              </w:rPr>
            </w:pPr>
            <w:r w:rsidRPr="00FB08FE">
              <w:rPr>
                <w:b/>
                <w:sz w:val="28"/>
                <w:szCs w:val="28"/>
              </w:rPr>
              <w:t>1</w:t>
            </w:r>
          </w:p>
        </w:tc>
        <w:tc>
          <w:tcPr>
            <w:tcW w:w="1300" w:type="dxa"/>
            <w:noWrap/>
            <w:hideMark/>
          </w:tcPr>
          <w:p w14:paraId="40EF5245" w14:textId="77777777" w:rsidR="00FB08FE" w:rsidRPr="00FB08FE" w:rsidRDefault="00FB08FE" w:rsidP="00FB08FE">
            <w:pPr>
              <w:rPr>
                <w:b/>
                <w:sz w:val="28"/>
                <w:szCs w:val="28"/>
              </w:rPr>
            </w:pPr>
            <w:r w:rsidRPr="00FB08FE">
              <w:rPr>
                <w:b/>
                <w:sz w:val="28"/>
                <w:szCs w:val="28"/>
              </w:rPr>
              <w:t>2</w:t>
            </w:r>
          </w:p>
        </w:tc>
        <w:tc>
          <w:tcPr>
            <w:tcW w:w="1300" w:type="dxa"/>
            <w:noWrap/>
            <w:hideMark/>
          </w:tcPr>
          <w:p w14:paraId="3833F553" w14:textId="77777777" w:rsidR="00FB08FE" w:rsidRPr="00FB08FE" w:rsidRDefault="00FB08FE" w:rsidP="00FB08FE">
            <w:pPr>
              <w:rPr>
                <w:b/>
                <w:sz w:val="28"/>
                <w:szCs w:val="28"/>
              </w:rPr>
            </w:pPr>
            <w:r w:rsidRPr="00FB08FE">
              <w:rPr>
                <w:b/>
                <w:sz w:val="28"/>
                <w:szCs w:val="28"/>
              </w:rPr>
              <w:t>3</w:t>
            </w:r>
          </w:p>
        </w:tc>
        <w:tc>
          <w:tcPr>
            <w:tcW w:w="1300" w:type="dxa"/>
            <w:noWrap/>
            <w:hideMark/>
          </w:tcPr>
          <w:p w14:paraId="3C5741A0" w14:textId="77777777" w:rsidR="00FB08FE" w:rsidRPr="00FB08FE" w:rsidRDefault="00FB08FE" w:rsidP="00FB08FE">
            <w:pPr>
              <w:rPr>
                <w:b/>
                <w:sz w:val="28"/>
                <w:szCs w:val="28"/>
              </w:rPr>
            </w:pPr>
            <w:r w:rsidRPr="00FB08FE">
              <w:rPr>
                <w:b/>
                <w:sz w:val="28"/>
                <w:szCs w:val="28"/>
              </w:rPr>
              <w:t>4</w:t>
            </w:r>
          </w:p>
        </w:tc>
        <w:tc>
          <w:tcPr>
            <w:tcW w:w="1300" w:type="dxa"/>
            <w:noWrap/>
            <w:hideMark/>
          </w:tcPr>
          <w:p w14:paraId="7A7D741C" w14:textId="77777777" w:rsidR="00FB08FE" w:rsidRPr="00FB08FE" w:rsidRDefault="00FB08FE" w:rsidP="00FB08FE">
            <w:pPr>
              <w:rPr>
                <w:b/>
                <w:sz w:val="28"/>
                <w:szCs w:val="28"/>
              </w:rPr>
            </w:pPr>
            <w:r w:rsidRPr="00FB08FE">
              <w:rPr>
                <w:b/>
                <w:sz w:val="28"/>
                <w:szCs w:val="28"/>
              </w:rPr>
              <w:t>5</w:t>
            </w:r>
          </w:p>
        </w:tc>
        <w:tc>
          <w:tcPr>
            <w:tcW w:w="1300" w:type="dxa"/>
            <w:noWrap/>
            <w:hideMark/>
          </w:tcPr>
          <w:p w14:paraId="39DC3FF9" w14:textId="77777777" w:rsidR="00FB08FE" w:rsidRPr="00FB08FE" w:rsidRDefault="00FB08FE" w:rsidP="00FB08FE">
            <w:pPr>
              <w:rPr>
                <w:b/>
                <w:sz w:val="28"/>
                <w:szCs w:val="28"/>
              </w:rPr>
            </w:pPr>
            <w:r w:rsidRPr="00FB08FE">
              <w:rPr>
                <w:b/>
                <w:sz w:val="28"/>
                <w:szCs w:val="28"/>
              </w:rPr>
              <w:t>6</w:t>
            </w:r>
          </w:p>
        </w:tc>
      </w:tr>
      <w:tr w:rsidR="00FB08FE" w:rsidRPr="00FB08FE" w14:paraId="2187A641" w14:textId="77777777" w:rsidTr="00FB08FE">
        <w:trPr>
          <w:trHeight w:val="320"/>
        </w:trPr>
        <w:tc>
          <w:tcPr>
            <w:tcW w:w="1300" w:type="dxa"/>
            <w:noWrap/>
            <w:hideMark/>
          </w:tcPr>
          <w:p w14:paraId="74FB90F0" w14:textId="77777777" w:rsidR="00FB08FE" w:rsidRPr="00FB08FE" w:rsidRDefault="00FB08FE" w:rsidP="00FB08FE">
            <w:pPr>
              <w:rPr>
                <w:b/>
                <w:sz w:val="28"/>
                <w:szCs w:val="28"/>
              </w:rPr>
            </w:pPr>
            <w:r w:rsidRPr="00FB08FE">
              <w:rPr>
                <w:b/>
                <w:sz w:val="28"/>
                <w:szCs w:val="28"/>
              </w:rPr>
              <w:t>2</w:t>
            </w:r>
          </w:p>
        </w:tc>
        <w:tc>
          <w:tcPr>
            <w:tcW w:w="1520" w:type="dxa"/>
            <w:noWrap/>
            <w:hideMark/>
          </w:tcPr>
          <w:p w14:paraId="71F43ED8" w14:textId="77777777" w:rsidR="00FB08FE" w:rsidRPr="00FB08FE" w:rsidRDefault="00FB08FE" w:rsidP="00FB08FE">
            <w:pPr>
              <w:rPr>
                <w:b/>
                <w:sz w:val="28"/>
                <w:szCs w:val="28"/>
              </w:rPr>
            </w:pPr>
            <w:r w:rsidRPr="00FB08FE">
              <w:rPr>
                <w:b/>
                <w:sz w:val="28"/>
                <w:szCs w:val="28"/>
              </w:rPr>
              <w:t>-0.3</w:t>
            </w:r>
          </w:p>
        </w:tc>
        <w:tc>
          <w:tcPr>
            <w:tcW w:w="1300" w:type="dxa"/>
            <w:noWrap/>
            <w:hideMark/>
          </w:tcPr>
          <w:p w14:paraId="421BE7D1" w14:textId="77777777" w:rsidR="00FB08FE" w:rsidRPr="00FB08FE" w:rsidRDefault="00FB08FE" w:rsidP="00FB08FE">
            <w:pPr>
              <w:rPr>
                <w:b/>
                <w:sz w:val="28"/>
                <w:szCs w:val="28"/>
              </w:rPr>
            </w:pPr>
            <w:r w:rsidRPr="00FB08FE">
              <w:rPr>
                <w:b/>
                <w:sz w:val="28"/>
                <w:szCs w:val="28"/>
              </w:rPr>
              <w:t>-0.2</w:t>
            </w:r>
          </w:p>
        </w:tc>
        <w:tc>
          <w:tcPr>
            <w:tcW w:w="1300" w:type="dxa"/>
            <w:noWrap/>
            <w:hideMark/>
          </w:tcPr>
          <w:p w14:paraId="439926CD" w14:textId="77777777" w:rsidR="00FB08FE" w:rsidRPr="00FB08FE" w:rsidRDefault="00FB08FE" w:rsidP="00FB08FE">
            <w:pPr>
              <w:rPr>
                <w:b/>
                <w:sz w:val="28"/>
                <w:szCs w:val="28"/>
              </w:rPr>
            </w:pPr>
          </w:p>
        </w:tc>
        <w:tc>
          <w:tcPr>
            <w:tcW w:w="1300" w:type="dxa"/>
            <w:noWrap/>
            <w:hideMark/>
          </w:tcPr>
          <w:p w14:paraId="65725333" w14:textId="77777777" w:rsidR="00FB08FE" w:rsidRPr="00FB08FE" w:rsidRDefault="00FB08FE">
            <w:pPr>
              <w:rPr>
                <w:b/>
                <w:sz w:val="28"/>
                <w:szCs w:val="28"/>
              </w:rPr>
            </w:pPr>
          </w:p>
        </w:tc>
        <w:tc>
          <w:tcPr>
            <w:tcW w:w="1300" w:type="dxa"/>
            <w:noWrap/>
            <w:hideMark/>
          </w:tcPr>
          <w:p w14:paraId="6DEEA55D" w14:textId="77777777" w:rsidR="00FB08FE" w:rsidRPr="00FB08FE" w:rsidRDefault="00FB08FE">
            <w:pPr>
              <w:rPr>
                <w:b/>
                <w:sz w:val="28"/>
                <w:szCs w:val="28"/>
              </w:rPr>
            </w:pPr>
          </w:p>
        </w:tc>
        <w:tc>
          <w:tcPr>
            <w:tcW w:w="1300" w:type="dxa"/>
            <w:noWrap/>
            <w:hideMark/>
          </w:tcPr>
          <w:p w14:paraId="774AD8D1" w14:textId="77777777" w:rsidR="00FB08FE" w:rsidRPr="00FB08FE" w:rsidRDefault="00FB08FE">
            <w:pPr>
              <w:rPr>
                <w:b/>
                <w:sz w:val="28"/>
                <w:szCs w:val="28"/>
              </w:rPr>
            </w:pPr>
          </w:p>
        </w:tc>
        <w:tc>
          <w:tcPr>
            <w:tcW w:w="1300" w:type="dxa"/>
            <w:noWrap/>
            <w:hideMark/>
          </w:tcPr>
          <w:p w14:paraId="0D6CC9D5" w14:textId="77777777" w:rsidR="00FB08FE" w:rsidRPr="00FB08FE" w:rsidRDefault="00FB08FE">
            <w:pPr>
              <w:rPr>
                <w:b/>
                <w:sz w:val="28"/>
                <w:szCs w:val="28"/>
              </w:rPr>
            </w:pPr>
          </w:p>
        </w:tc>
      </w:tr>
      <w:tr w:rsidR="00FB08FE" w:rsidRPr="00FB08FE" w14:paraId="1B6781C3" w14:textId="77777777" w:rsidTr="00FB08FE">
        <w:trPr>
          <w:trHeight w:val="320"/>
        </w:trPr>
        <w:tc>
          <w:tcPr>
            <w:tcW w:w="1300" w:type="dxa"/>
            <w:noWrap/>
            <w:hideMark/>
          </w:tcPr>
          <w:p w14:paraId="6C01D617" w14:textId="77777777" w:rsidR="00FB08FE" w:rsidRPr="00FB08FE" w:rsidRDefault="00FB08FE" w:rsidP="00FB08FE">
            <w:pPr>
              <w:rPr>
                <w:b/>
                <w:sz w:val="28"/>
                <w:szCs w:val="28"/>
              </w:rPr>
            </w:pPr>
            <w:r w:rsidRPr="00FB08FE">
              <w:rPr>
                <w:b/>
                <w:sz w:val="28"/>
                <w:szCs w:val="28"/>
              </w:rPr>
              <w:t>3</w:t>
            </w:r>
          </w:p>
        </w:tc>
        <w:tc>
          <w:tcPr>
            <w:tcW w:w="1520" w:type="dxa"/>
            <w:noWrap/>
            <w:hideMark/>
          </w:tcPr>
          <w:p w14:paraId="1D7F1F54" w14:textId="77777777" w:rsidR="00FB08FE" w:rsidRPr="00FB08FE" w:rsidRDefault="00FB08FE" w:rsidP="00FB08FE">
            <w:pPr>
              <w:rPr>
                <w:b/>
                <w:sz w:val="28"/>
                <w:szCs w:val="28"/>
              </w:rPr>
            </w:pPr>
            <w:r w:rsidRPr="00FB08FE">
              <w:rPr>
                <w:b/>
                <w:sz w:val="28"/>
                <w:szCs w:val="28"/>
              </w:rPr>
              <w:t>-0.1</w:t>
            </w:r>
          </w:p>
        </w:tc>
        <w:tc>
          <w:tcPr>
            <w:tcW w:w="1300" w:type="dxa"/>
            <w:noWrap/>
            <w:hideMark/>
          </w:tcPr>
          <w:p w14:paraId="30E18D71" w14:textId="77777777" w:rsidR="00FB08FE" w:rsidRPr="00FB08FE" w:rsidRDefault="00FB08FE" w:rsidP="00FB08FE">
            <w:pPr>
              <w:rPr>
                <w:b/>
                <w:sz w:val="28"/>
                <w:szCs w:val="28"/>
              </w:rPr>
            </w:pPr>
            <w:r w:rsidRPr="00FB08FE">
              <w:rPr>
                <w:b/>
                <w:sz w:val="28"/>
                <w:szCs w:val="28"/>
              </w:rPr>
              <w:t>-0.3</w:t>
            </w:r>
          </w:p>
        </w:tc>
        <w:tc>
          <w:tcPr>
            <w:tcW w:w="1300" w:type="dxa"/>
            <w:noWrap/>
            <w:hideMark/>
          </w:tcPr>
          <w:p w14:paraId="57FBFD2B" w14:textId="77777777" w:rsidR="00FB08FE" w:rsidRPr="00FB08FE" w:rsidRDefault="00FB08FE" w:rsidP="00FB08FE">
            <w:pPr>
              <w:rPr>
                <w:b/>
                <w:sz w:val="28"/>
                <w:szCs w:val="28"/>
              </w:rPr>
            </w:pPr>
            <w:r w:rsidRPr="00FB08FE">
              <w:rPr>
                <w:b/>
                <w:sz w:val="28"/>
                <w:szCs w:val="28"/>
              </w:rPr>
              <w:t>-0.2</w:t>
            </w:r>
          </w:p>
        </w:tc>
        <w:tc>
          <w:tcPr>
            <w:tcW w:w="1300" w:type="dxa"/>
            <w:noWrap/>
            <w:hideMark/>
          </w:tcPr>
          <w:p w14:paraId="792C41A5" w14:textId="77777777" w:rsidR="00FB08FE" w:rsidRPr="00FB08FE" w:rsidRDefault="00FB08FE" w:rsidP="00FB08FE">
            <w:pPr>
              <w:rPr>
                <w:b/>
                <w:sz w:val="28"/>
                <w:szCs w:val="28"/>
              </w:rPr>
            </w:pPr>
          </w:p>
        </w:tc>
        <w:tc>
          <w:tcPr>
            <w:tcW w:w="1300" w:type="dxa"/>
            <w:noWrap/>
            <w:hideMark/>
          </w:tcPr>
          <w:p w14:paraId="31DF4DC7" w14:textId="77777777" w:rsidR="00FB08FE" w:rsidRPr="00FB08FE" w:rsidRDefault="00FB08FE">
            <w:pPr>
              <w:rPr>
                <w:b/>
                <w:sz w:val="28"/>
                <w:szCs w:val="28"/>
              </w:rPr>
            </w:pPr>
          </w:p>
        </w:tc>
        <w:tc>
          <w:tcPr>
            <w:tcW w:w="1300" w:type="dxa"/>
            <w:noWrap/>
            <w:hideMark/>
          </w:tcPr>
          <w:p w14:paraId="5EB7A86D" w14:textId="77777777" w:rsidR="00FB08FE" w:rsidRPr="00FB08FE" w:rsidRDefault="00FB08FE">
            <w:pPr>
              <w:rPr>
                <w:b/>
                <w:sz w:val="28"/>
                <w:szCs w:val="28"/>
              </w:rPr>
            </w:pPr>
          </w:p>
        </w:tc>
        <w:tc>
          <w:tcPr>
            <w:tcW w:w="1300" w:type="dxa"/>
            <w:noWrap/>
            <w:hideMark/>
          </w:tcPr>
          <w:p w14:paraId="46C55555" w14:textId="77777777" w:rsidR="00FB08FE" w:rsidRPr="00FB08FE" w:rsidRDefault="00FB08FE">
            <w:pPr>
              <w:rPr>
                <w:b/>
                <w:sz w:val="28"/>
                <w:szCs w:val="28"/>
              </w:rPr>
            </w:pPr>
          </w:p>
        </w:tc>
      </w:tr>
      <w:tr w:rsidR="00FB08FE" w:rsidRPr="00FB08FE" w14:paraId="25C2D162" w14:textId="77777777" w:rsidTr="00FB08FE">
        <w:trPr>
          <w:trHeight w:val="320"/>
        </w:trPr>
        <w:tc>
          <w:tcPr>
            <w:tcW w:w="1300" w:type="dxa"/>
            <w:noWrap/>
            <w:hideMark/>
          </w:tcPr>
          <w:p w14:paraId="6CE9CE2F" w14:textId="77777777" w:rsidR="00FB08FE" w:rsidRPr="00FB08FE" w:rsidRDefault="00FB08FE" w:rsidP="00FB08FE">
            <w:pPr>
              <w:rPr>
                <w:b/>
                <w:sz w:val="28"/>
                <w:szCs w:val="28"/>
              </w:rPr>
            </w:pPr>
            <w:r w:rsidRPr="00FB08FE">
              <w:rPr>
                <w:b/>
                <w:sz w:val="28"/>
                <w:szCs w:val="28"/>
              </w:rPr>
              <w:t>4</w:t>
            </w:r>
          </w:p>
        </w:tc>
        <w:tc>
          <w:tcPr>
            <w:tcW w:w="1520" w:type="dxa"/>
            <w:noWrap/>
            <w:hideMark/>
          </w:tcPr>
          <w:p w14:paraId="6097D1B1" w14:textId="77777777" w:rsidR="00FB08FE" w:rsidRPr="00FB08FE" w:rsidRDefault="00FB08FE" w:rsidP="00FB08FE">
            <w:pPr>
              <w:rPr>
                <w:b/>
                <w:sz w:val="28"/>
                <w:szCs w:val="28"/>
              </w:rPr>
            </w:pPr>
            <w:r w:rsidRPr="00FB08FE">
              <w:rPr>
                <w:b/>
                <w:sz w:val="28"/>
                <w:szCs w:val="28"/>
              </w:rPr>
              <w:t>0</w:t>
            </w:r>
          </w:p>
        </w:tc>
        <w:tc>
          <w:tcPr>
            <w:tcW w:w="1300" w:type="dxa"/>
            <w:noWrap/>
            <w:hideMark/>
          </w:tcPr>
          <w:p w14:paraId="3B544D71" w14:textId="77777777" w:rsidR="00FB08FE" w:rsidRPr="00FB08FE" w:rsidRDefault="00FB08FE" w:rsidP="00FB08FE">
            <w:pPr>
              <w:rPr>
                <w:b/>
                <w:sz w:val="28"/>
                <w:szCs w:val="28"/>
              </w:rPr>
            </w:pPr>
            <w:r w:rsidRPr="00FB08FE">
              <w:rPr>
                <w:b/>
                <w:sz w:val="28"/>
                <w:szCs w:val="28"/>
              </w:rPr>
              <w:t>-0.1</w:t>
            </w:r>
          </w:p>
        </w:tc>
        <w:tc>
          <w:tcPr>
            <w:tcW w:w="1300" w:type="dxa"/>
            <w:noWrap/>
            <w:hideMark/>
          </w:tcPr>
          <w:p w14:paraId="2C2BAF3C" w14:textId="77777777" w:rsidR="00FB08FE" w:rsidRPr="00FB08FE" w:rsidRDefault="00FB08FE" w:rsidP="00FB08FE">
            <w:pPr>
              <w:rPr>
                <w:b/>
                <w:sz w:val="28"/>
                <w:szCs w:val="28"/>
              </w:rPr>
            </w:pPr>
            <w:r w:rsidRPr="00FB08FE">
              <w:rPr>
                <w:b/>
                <w:sz w:val="28"/>
                <w:szCs w:val="28"/>
              </w:rPr>
              <w:t>-0.3</w:t>
            </w:r>
          </w:p>
        </w:tc>
        <w:tc>
          <w:tcPr>
            <w:tcW w:w="1300" w:type="dxa"/>
            <w:noWrap/>
            <w:hideMark/>
          </w:tcPr>
          <w:p w14:paraId="22EE59B4" w14:textId="77777777" w:rsidR="00FB08FE" w:rsidRPr="00FB08FE" w:rsidRDefault="00FB08FE" w:rsidP="00FB08FE">
            <w:pPr>
              <w:rPr>
                <w:b/>
                <w:sz w:val="28"/>
                <w:szCs w:val="28"/>
              </w:rPr>
            </w:pPr>
            <w:r w:rsidRPr="00FB08FE">
              <w:rPr>
                <w:b/>
                <w:sz w:val="28"/>
                <w:szCs w:val="28"/>
              </w:rPr>
              <w:t>0</w:t>
            </w:r>
          </w:p>
        </w:tc>
        <w:tc>
          <w:tcPr>
            <w:tcW w:w="1300" w:type="dxa"/>
            <w:noWrap/>
            <w:hideMark/>
          </w:tcPr>
          <w:p w14:paraId="2CF41E1E" w14:textId="77777777" w:rsidR="00FB08FE" w:rsidRPr="00FB08FE" w:rsidRDefault="00FB08FE" w:rsidP="00FB08FE">
            <w:pPr>
              <w:rPr>
                <w:b/>
                <w:sz w:val="28"/>
                <w:szCs w:val="28"/>
              </w:rPr>
            </w:pPr>
          </w:p>
        </w:tc>
        <w:tc>
          <w:tcPr>
            <w:tcW w:w="1300" w:type="dxa"/>
            <w:noWrap/>
            <w:hideMark/>
          </w:tcPr>
          <w:p w14:paraId="2C342291" w14:textId="77777777" w:rsidR="00FB08FE" w:rsidRPr="00FB08FE" w:rsidRDefault="00FB08FE">
            <w:pPr>
              <w:rPr>
                <w:b/>
                <w:sz w:val="28"/>
                <w:szCs w:val="28"/>
              </w:rPr>
            </w:pPr>
          </w:p>
        </w:tc>
        <w:tc>
          <w:tcPr>
            <w:tcW w:w="1300" w:type="dxa"/>
            <w:noWrap/>
            <w:hideMark/>
          </w:tcPr>
          <w:p w14:paraId="671EDAF5" w14:textId="77777777" w:rsidR="00FB08FE" w:rsidRPr="00FB08FE" w:rsidRDefault="00FB08FE">
            <w:pPr>
              <w:rPr>
                <w:b/>
                <w:sz w:val="28"/>
                <w:szCs w:val="28"/>
              </w:rPr>
            </w:pPr>
          </w:p>
        </w:tc>
      </w:tr>
      <w:tr w:rsidR="00FB08FE" w:rsidRPr="00FB08FE" w14:paraId="7BBADD56" w14:textId="77777777" w:rsidTr="00FB08FE">
        <w:trPr>
          <w:trHeight w:val="320"/>
        </w:trPr>
        <w:tc>
          <w:tcPr>
            <w:tcW w:w="1300" w:type="dxa"/>
            <w:noWrap/>
            <w:hideMark/>
          </w:tcPr>
          <w:p w14:paraId="3DE7510D" w14:textId="77777777" w:rsidR="00FB08FE" w:rsidRPr="00FB08FE" w:rsidRDefault="00FB08FE" w:rsidP="00FB08FE">
            <w:pPr>
              <w:rPr>
                <w:b/>
                <w:sz w:val="28"/>
                <w:szCs w:val="28"/>
              </w:rPr>
            </w:pPr>
            <w:r w:rsidRPr="00FB08FE">
              <w:rPr>
                <w:b/>
                <w:sz w:val="28"/>
                <w:szCs w:val="28"/>
              </w:rPr>
              <w:t>5</w:t>
            </w:r>
          </w:p>
        </w:tc>
        <w:tc>
          <w:tcPr>
            <w:tcW w:w="1520" w:type="dxa"/>
            <w:noWrap/>
            <w:hideMark/>
          </w:tcPr>
          <w:p w14:paraId="6E1D3F41" w14:textId="77777777" w:rsidR="00FB08FE" w:rsidRPr="00FB08FE" w:rsidRDefault="00FB08FE" w:rsidP="00FB08FE">
            <w:pPr>
              <w:rPr>
                <w:b/>
                <w:sz w:val="28"/>
                <w:szCs w:val="28"/>
              </w:rPr>
            </w:pPr>
            <w:r w:rsidRPr="00FB08FE">
              <w:rPr>
                <w:b/>
                <w:sz w:val="28"/>
                <w:szCs w:val="28"/>
              </w:rPr>
              <w:t>0.1</w:t>
            </w:r>
          </w:p>
        </w:tc>
        <w:tc>
          <w:tcPr>
            <w:tcW w:w="1300" w:type="dxa"/>
            <w:noWrap/>
            <w:hideMark/>
          </w:tcPr>
          <w:p w14:paraId="73109127" w14:textId="77777777" w:rsidR="00FB08FE" w:rsidRPr="00FB08FE" w:rsidRDefault="00FB08FE" w:rsidP="00FB08FE">
            <w:pPr>
              <w:rPr>
                <w:b/>
                <w:sz w:val="28"/>
                <w:szCs w:val="28"/>
              </w:rPr>
            </w:pPr>
            <w:r w:rsidRPr="00FB08FE">
              <w:rPr>
                <w:b/>
                <w:sz w:val="28"/>
                <w:szCs w:val="28"/>
              </w:rPr>
              <w:t>0.2</w:t>
            </w:r>
          </w:p>
        </w:tc>
        <w:tc>
          <w:tcPr>
            <w:tcW w:w="1300" w:type="dxa"/>
            <w:noWrap/>
            <w:hideMark/>
          </w:tcPr>
          <w:p w14:paraId="5D9D7EC6" w14:textId="77777777" w:rsidR="00FB08FE" w:rsidRPr="00FB08FE" w:rsidRDefault="00FB08FE" w:rsidP="00FB08FE">
            <w:pPr>
              <w:rPr>
                <w:b/>
                <w:sz w:val="28"/>
                <w:szCs w:val="28"/>
              </w:rPr>
            </w:pPr>
            <w:r w:rsidRPr="00FB08FE">
              <w:rPr>
                <w:b/>
                <w:sz w:val="28"/>
                <w:szCs w:val="28"/>
              </w:rPr>
              <w:t>0.3</w:t>
            </w:r>
          </w:p>
        </w:tc>
        <w:tc>
          <w:tcPr>
            <w:tcW w:w="1300" w:type="dxa"/>
            <w:noWrap/>
            <w:hideMark/>
          </w:tcPr>
          <w:p w14:paraId="7E156AA3" w14:textId="77777777" w:rsidR="00FB08FE" w:rsidRPr="00FB08FE" w:rsidRDefault="00FB08FE" w:rsidP="00FB08FE">
            <w:pPr>
              <w:rPr>
                <w:b/>
                <w:sz w:val="28"/>
                <w:szCs w:val="28"/>
              </w:rPr>
            </w:pPr>
            <w:r w:rsidRPr="00FB08FE">
              <w:rPr>
                <w:b/>
                <w:sz w:val="28"/>
                <w:szCs w:val="28"/>
              </w:rPr>
              <w:t>0.1</w:t>
            </w:r>
          </w:p>
        </w:tc>
        <w:tc>
          <w:tcPr>
            <w:tcW w:w="1300" w:type="dxa"/>
            <w:noWrap/>
            <w:hideMark/>
          </w:tcPr>
          <w:p w14:paraId="16A8E0F5" w14:textId="77777777" w:rsidR="00FB08FE" w:rsidRPr="00FB08FE" w:rsidRDefault="00FB08FE" w:rsidP="00FB08FE">
            <w:pPr>
              <w:rPr>
                <w:b/>
                <w:sz w:val="28"/>
                <w:szCs w:val="28"/>
              </w:rPr>
            </w:pPr>
            <w:r w:rsidRPr="00FB08FE">
              <w:rPr>
                <w:b/>
                <w:sz w:val="28"/>
                <w:szCs w:val="28"/>
              </w:rPr>
              <w:t>0.2</w:t>
            </w:r>
          </w:p>
        </w:tc>
        <w:tc>
          <w:tcPr>
            <w:tcW w:w="1300" w:type="dxa"/>
            <w:noWrap/>
            <w:hideMark/>
          </w:tcPr>
          <w:p w14:paraId="67CAE6A7" w14:textId="77777777" w:rsidR="00FB08FE" w:rsidRPr="00FB08FE" w:rsidRDefault="00FB08FE" w:rsidP="00FB08FE">
            <w:pPr>
              <w:rPr>
                <w:b/>
                <w:sz w:val="28"/>
                <w:szCs w:val="28"/>
              </w:rPr>
            </w:pPr>
          </w:p>
        </w:tc>
        <w:tc>
          <w:tcPr>
            <w:tcW w:w="1300" w:type="dxa"/>
            <w:noWrap/>
            <w:hideMark/>
          </w:tcPr>
          <w:p w14:paraId="6DFF71BA" w14:textId="77777777" w:rsidR="00FB08FE" w:rsidRPr="00FB08FE" w:rsidRDefault="00FB08FE">
            <w:pPr>
              <w:rPr>
                <w:b/>
                <w:sz w:val="28"/>
                <w:szCs w:val="28"/>
              </w:rPr>
            </w:pPr>
          </w:p>
        </w:tc>
      </w:tr>
      <w:tr w:rsidR="00FB08FE" w:rsidRPr="00FB08FE" w14:paraId="1A62DFBB" w14:textId="77777777" w:rsidTr="00FB08FE">
        <w:trPr>
          <w:trHeight w:val="320"/>
        </w:trPr>
        <w:tc>
          <w:tcPr>
            <w:tcW w:w="1300" w:type="dxa"/>
            <w:noWrap/>
            <w:hideMark/>
          </w:tcPr>
          <w:p w14:paraId="4ACA1451" w14:textId="77777777" w:rsidR="00FB08FE" w:rsidRPr="00FB08FE" w:rsidRDefault="00FB08FE" w:rsidP="00FB08FE">
            <w:pPr>
              <w:rPr>
                <w:b/>
                <w:sz w:val="28"/>
                <w:szCs w:val="28"/>
              </w:rPr>
            </w:pPr>
            <w:r w:rsidRPr="00FB08FE">
              <w:rPr>
                <w:b/>
                <w:sz w:val="28"/>
                <w:szCs w:val="28"/>
              </w:rPr>
              <w:t>6</w:t>
            </w:r>
          </w:p>
        </w:tc>
        <w:tc>
          <w:tcPr>
            <w:tcW w:w="1520" w:type="dxa"/>
            <w:noWrap/>
            <w:hideMark/>
          </w:tcPr>
          <w:p w14:paraId="457A4CCE" w14:textId="77777777" w:rsidR="00FB08FE" w:rsidRPr="00FB08FE" w:rsidRDefault="00FB08FE" w:rsidP="00FB08FE">
            <w:pPr>
              <w:rPr>
                <w:b/>
                <w:sz w:val="28"/>
                <w:szCs w:val="28"/>
              </w:rPr>
            </w:pPr>
            <w:r w:rsidRPr="00FB08FE">
              <w:rPr>
                <w:b/>
                <w:sz w:val="28"/>
                <w:szCs w:val="28"/>
              </w:rPr>
              <w:t>0.1</w:t>
            </w:r>
          </w:p>
        </w:tc>
        <w:tc>
          <w:tcPr>
            <w:tcW w:w="1300" w:type="dxa"/>
            <w:noWrap/>
            <w:hideMark/>
          </w:tcPr>
          <w:p w14:paraId="7FE14B75" w14:textId="77777777" w:rsidR="00FB08FE" w:rsidRPr="00FB08FE" w:rsidRDefault="00FB08FE" w:rsidP="00FB08FE">
            <w:pPr>
              <w:rPr>
                <w:b/>
                <w:sz w:val="28"/>
                <w:szCs w:val="28"/>
              </w:rPr>
            </w:pPr>
            <w:r w:rsidRPr="00FB08FE">
              <w:rPr>
                <w:b/>
                <w:sz w:val="28"/>
                <w:szCs w:val="28"/>
              </w:rPr>
              <w:t>0.2</w:t>
            </w:r>
          </w:p>
        </w:tc>
        <w:tc>
          <w:tcPr>
            <w:tcW w:w="1300" w:type="dxa"/>
            <w:noWrap/>
            <w:hideMark/>
          </w:tcPr>
          <w:p w14:paraId="0118B26E" w14:textId="77777777" w:rsidR="00FB08FE" w:rsidRPr="00FB08FE" w:rsidRDefault="00FB08FE" w:rsidP="00FB08FE">
            <w:pPr>
              <w:rPr>
                <w:b/>
                <w:sz w:val="28"/>
                <w:szCs w:val="28"/>
              </w:rPr>
            </w:pPr>
            <w:r w:rsidRPr="00FB08FE">
              <w:rPr>
                <w:b/>
                <w:sz w:val="28"/>
                <w:szCs w:val="28"/>
              </w:rPr>
              <w:t>0.5</w:t>
            </w:r>
          </w:p>
        </w:tc>
        <w:tc>
          <w:tcPr>
            <w:tcW w:w="1300" w:type="dxa"/>
            <w:noWrap/>
            <w:hideMark/>
          </w:tcPr>
          <w:p w14:paraId="2B81E13B" w14:textId="77777777" w:rsidR="00FB08FE" w:rsidRPr="00FB08FE" w:rsidRDefault="00FB08FE" w:rsidP="00FB08FE">
            <w:pPr>
              <w:rPr>
                <w:b/>
                <w:sz w:val="28"/>
                <w:szCs w:val="28"/>
              </w:rPr>
            </w:pPr>
            <w:r w:rsidRPr="00FB08FE">
              <w:rPr>
                <w:b/>
                <w:sz w:val="28"/>
                <w:szCs w:val="28"/>
              </w:rPr>
              <w:t>0.3</w:t>
            </w:r>
          </w:p>
        </w:tc>
        <w:tc>
          <w:tcPr>
            <w:tcW w:w="1300" w:type="dxa"/>
            <w:noWrap/>
            <w:hideMark/>
          </w:tcPr>
          <w:p w14:paraId="30AA61E9" w14:textId="77777777" w:rsidR="00FB08FE" w:rsidRPr="00FB08FE" w:rsidRDefault="00FB08FE" w:rsidP="00FB08FE">
            <w:pPr>
              <w:rPr>
                <w:b/>
                <w:sz w:val="28"/>
                <w:szCs w:val="28"/>
              </w:rPr>
            </w:pPr>
            <w:r w:rsidRPr="00FB08FE">
              <w:rPr>
                <w:b/>
                <w:sz w:val="28"/>
                <w:szCs w:val="28"/>
              </w:rPr>
              <w:t>0.4</w:t>
            </w:r>
          </w:p>
        </w:tc>
        <w:tc>
          <w:tcPr>
            <w:tcW w:w="1300" w:type="dxa"/>
            <w:noWrap/>
            <w:hideMark/>
          </w:tcPr>
          <w:p w14:paraId="137B05F2" w14:textId="77777777" w:rsidR="00FB08FE" w:rsidRPr="00FB08FE" w:rsidRDefault="00FB08FE" w:rsidP="00FB08FE">
            <w:pPr>
              <w:rPr>
                <w:b/>
                <w:sz w:val="28"/>
                <w:szCs w:val="28"/>
              </w:rPr>
            </w:pPr>
            <w:r w:rsidRPr="00FB08FE">
              <w:rPr>
                <w:b/>
                <w:sz w:val="28"/>
                <w:szCs w:val="28"/>
              </w:rPr>
              <w:t>0.9</w:t>
            </w:r>
          </w:p>
        </w:tc>
        <w:tc>
          <w:tcPr>
            <w:tcW w:w="1300" w:type="dxa"/>
            <w:noWrap/>
            <w:hideMark/>
          </w:tcPr>
          <w:p w14:paraId="719FCC05" w14:textId="77777777" w:rsidR="00FB08FE" w:rsidRPr="00FB08FE" w:rsidRDefault="00FB08FE" w:rsidP="00FB08FE">
            <w:pPr>
              <w:rPr>
                <w:b/>
                <w:sz w:val="28"/>
                <w:szCs w:val="28"/>
              </w:rPr>
            </w:pPr>
          </w:p>
        </w:tc>
      </w:tr>
      <w:tr w:rsidR="00FB08FE" w:rsidRPr="00FB08FE" w14:paraId="2ED56D8D" w14:textId="77777777" w:rsidTr="00FB08FE">
        <w:trPr>
          <w:trHeight w:val="320"/>
        </w:trPr>
        <w:tc>
          <w:tcPr>
            <w:tcW w:w="1300" w:type="dxa"/>
            <w:noWrap/>
            <w:hideMark/>
          </w:tcPr>
          <w:p w14:paraId="5E2DC733" w14:textId="77777777" w:rsidR="00FB08FE" w:rsidRPr="00FB08FE" w:rsidRDefault="00FB08FE" w:rsidP="00FB08FE">
            <w:pPr>
              <w:rPr>
                <w:b/>
                <w:sz w:val="28"/>
                <w:szCs w:val="28"/>
              </w:rPr>
            </w:pPr>
            <w:r w:rsidRPr="00FB08FE">
              <w:rPr>
                <w:b/>
                <w:sz w:val="28"/>
                <w:szCs w:val="28"/>
              </w:rPr>
              <w:t>7</w:t>
            </w:r>
          </w:p>
        </w:tc>
        <w:tc>
          <w:tcPr>
            <w:tcW w:w="1520" w:type="dxa"/>
            <w:noWrap/>
            <w:hideMark/>
          </w:tcPr>
          <w:p w14:paraId="1D3FC732" w14:textId="77777777" w:rsidR="00FB08FE" w:rsidRPr="00FB08FE" w:rsidRDefault="00FB08FE" w:rsidP="00FB08FE">
            <w:pPr>
              <w:rPr>
                <w:b/>
                <w:sz w:val="28"/>
                <w:szCs w:val="28"/>
              </w:rPr>
            </w:pPr>
            <w:r w:rsidRPr="00FB08FE">
              <w:rPr>
                <w:b/>
                <w:sz w:val="28"/>
                <w:szCs w:val="28"/>
              </w:rPr>
              <w:t>0.7</w:t>
            </w:r>
          </w:p>
        </w:tc>
        <w:tc>
          <w:tcPr>
            <w:tcW w:w="1300" w:type="dxa"/>
            <w:noWrap/>
            <w:hideMark/>
          </w:tcPr>
          <w:p w14:paraId="32C99092" w14:textId="77777777" w:rsidR="00FB08FE" w:rsidRPr="00FB08FE" w:rsidRDefault="00FB08FE" w:rsidP="00FB08FE">
            <w:pPr>
              <w:rPr>
                <w:b/>
                <w:sz w:val="28"/>
                <w:szCs w:val="28"/>
              </w:rPr>
            </w:pPr>
            <w:r w:rsidRPr="00FB08FE">
              <w:rPr>
                <w:b/>
                <w:sz w:val="28"/>
                <w:szCs w:val="28"/>
              </w:rPr>
              <w:t>0.4</w:t>
            </w:r>
          </w:p>
        </w:tc>
        <w:tc>
          <w:tcPr>
            <w:tcW w:w="1300" w:type="dxa"/>
            <w:noWrap/>
            <w:hideMark/>
          </w:tcPr>
          <w:p w14:paraId="79BC0ED9" w14:textId="77777777" w:rsidR="00FB08FE" w:rsidRPr="00FB08FE" w:rsidRDefault="00FB08FE" w:rsidP="00FB08FE">
            <w:pPr>
              <w:rPr>
                <w:b/>
                <w:sz w:val="28"/>
                <w:szCs w:val="28"/>
              </w:rPr>
            </w:pPr>
            <w:r w:rsidRPr="00FB08FE">
              <w:rPr>
                <w:b/>
                <w:sz w:val="28"/>
                <w:szCs w:val="28"/>
              </w:rPr>
              <w:t>0.8</w:t>
            </w:r>
          </w:p>
        </w:tc>
        <w:tc>
          <w:tcPr>
            <w:tcW w:w="1300" w:type="dxa"/>
            <w:noWrap/>
            <w:hideMark/>
          </w:tcPr>
          <w:p w14:paraId="3E92848E" w14:textId="77777777" w:rsidR="00FB08FE" w:rsidRPr="00FB08FE" w:rsidRDefault="00FB08FE" w:rsidP="00FB08FE">
            <w:pPr>
              <w:rPr>
                <w:b/>
                <w:sz w:val="28"/>
                <w:szCs w:val="28"/>
              </w:rPr>
            </w:pPr>
            <w:r w:rsidRPr="00FB08FE">
              <w:rPr>
                <w:b/>
                <w:sz w:val="28"/>
                <w:szCs w:val="28"/>
              </w:rPr>
              <w:t>0.6</w:t>
            </w:r>
          </w:p>
        </w:tc>
        <w:tc>
          <w:tcPr>
            <w:tcW w:w="1300" w:type="dxa"/>
            <w:noWrap/>
            <w:hideMark/>
          </w:tcPr>
          <w:p w14:paraId="15F420D1" w14:textId="77777777" w:rsidR="00FB08FE" w:rsidRPr="00FB08FE" w:rsidRDefault="00FB08FE" w:rsidP="00FB08FE">
            <w:pPr>
              <w:rPr>
                <w:b/>
                <w:sz w:val="28"/>
                <w:szCs w:val="28"/>
              </w:rPr>
            </w:pPr>
            <w:r w:rsidRPr="00FB08FE">
              <w:rPr>
                <w:b/>
                <w:sz w:val="28"/>
                <w:szCs w:val="28"/>
              </w:rPr>
              <w:t>0.5</w:t>
            </w:r>
          </w:p>
        </w:tc>
        <w:tc>
          <w:tcPr>
            <w:tcW w:w="1300" w:type="dxa"/>
            <w:noWrap/>
            <w:hideMark/>
          </w:tcPr>
          <w:p w14:paraId="519BB49C" w14:textId="77777777" w:rsidR="00FB08FE" w:rsidRPr="00FB08FE" w:rsidRDefault="00FB08FE" w:rsidP="00FB08FE">
            <w:pPr>
              <w:rPr>
                <w:b/>
                <w:sz w:val="28"/>
                <w:szCs w:val="28"/>
              </w:rPr>
            </w:pPr>
            <w:r w:rsidRPr="00FB08FE">
              <w:rPr>
                <w:b/>
                <w:sz w:val="28"/>
                <w:szCs w:val="28"/>
              </w:rPr>
              <w:t>0.6</w:t>
            </w:r>
          </w:p>
        </w:tc>
        <w:tc>
          <w:tcPr>
            <w:tcW w:w="1300" w:type="dxa"/>
            <w:noWrap/>
            <w:hideMark/>
          </w:tcPr>
          <w:p w14:paraId="5D6CB7D6" w14:textId="77777777" w:rsidR="00FB08FE" w:rsidRPr="00FB08FE" w:rsidRDefault="00FB08FE" w:rsidP="00FB08FE">
            <w:pPr>
              <w:rPr>
                <w:b/>
                <w:sz w:val="28"/>
                <w:szCs w:val="28"/>
              </w:rPr>
            </w:pPr>
            <w:r w:rsidRPr="00FB08FE">
              <w:rPr>
                <w:b/>
                <w:sz w:val="28"/>
                <w:szCs w:val="28"/>
              </w:rPr>
              <w:t>1</w:t>
            </w:r>
          </w:p>
        </w:tc>
      </w:tr>
    </w:tbl>
    <w:p w14:paraId="63031B80" w14:textId="77777777" w:rsidR="002E7DAB" w:rsidRDefault="002E7DAB" w:rsidP="002E7DAB">
      <w:pPr>
        <w:rPr>
          <w:b/>
          <w:sz w:val="28"/>
          <w:szCs w:val="28"/>
        </w:rPr>
      </w:pPr>
    </w:p>
    <w:p w14:paraId="0942FBD5" w14:textId="77777777" w:rsidR="002E7DAB" w:rsidRDefault="002E7DAB" w:rsidP="002E7DAB">
      <w:pPr>
        <w:rPr>
          <w:b/>
          <w:sz w:val="28"/>
          <w:szCs w:val="28"/>
        </w:rPr>
      </w:pPr>
    </w:p>
    <w:p w14:paraId="69C3D74B" w14:textId="77777777" w:rsidR="002E7DAB" w:rsidRDefault="002E7DAB" w:rsidP="002E7DAB">
      <w:pPr>
        <w:rPr>
          <w:b/>
          <w:sz w:val="28"/>
          <w:szCs w:val="28"/>
        </w:rPr>
      </w:pPr>
      <w:r>
        <w:rPr>
          <w:b/>
          <w:sz w:val="28"/>
          <w:szCs w:val="28"/>
        </w:rPr>
        <w:t>Complete Link</w:t>
      </w:r>
    </w:p>
    <w:tbl>
      <w:tblPr>
        <w:tblStyle w:val="TableGrid"/>
        <w:tblW w:w="0" w:type="auto"/>
        <w:tblLook w:val="04A0" w:firstRow="1" w:lastRow="0" w:firstColumn="1" w:lastColumn="0" w:noHBand="0" w:noVBand="1"/>
      </w:tblPr>
      <w:tblGrid>
        <w:gridCol w:w="1146"/>
        <w:gridCol w:w="1334"/>
        <w:gridCol w:w="1145"/>
        <w:gridCol w:w="1145"/>
        <w:gridCol w:w="1145"/>
        <w:gridCol w:w="1145"/>
        <w:gridCol w:w="1145"/>
        <w:gridCol w:w="1145"/>
      </w:tblGrid>
      <w:tr w:rsidR="004543DD" w:rsidRPr="004543DD" w14:paraId="399AEE7C" w14:textId="77777777" w:rsidTr="004543DD">
        <w:trPr>
          <w:trHeight w:val="320"/>
        </w:trPr>
        <w:tc>
          <w:tcPr>
            <w:tcW w:w="1300" w:type="dxa"/>
            <w:noWrap/>
            <w:hideMark/>
          </w:tcPr>
          <w:p w14:paraId="780BEFEE" w14:textId="77777777" w:rsidR="004543DD" w:rsidRPr="004543DD" w:rsidRDefault="004543DD">
            <w:pPr>
              <w:rPr>
                <w:b/>
                <w:sz w:val="28"/>
                <w:szCs w:val="28"/>
              </w:rPr>
            </w:pPr>
            <w:r w:rsidRPr="004543DD">
              <w:rPr>
                <w:b/>
                <w:sz w:val="28"/>
                <w:szCs w:val="28"/>
              </w:rPr>
              <w:t>K-Values</w:t>
            </w:r>
          </w:p>
        </w:tc>
        <w:tc>
          <w:tcPr>
            <w:tcW w:w="1520" w:type="dxa"/>
            <w:noWrap/>
            <w:hideMark/>
          </w:tcPr>
          <w:p w14:paraId="7D0075A4" w14:textId="77777777" w:rsidR="004543DD" w:rsidRPr="004543DD" w:rsidRDefault="004543DD" w:rsidP="004543DD">
            <w:pPr>
              <w:rPr>
                <w:b/>
                <w:sz w:val="28"/>
                <w:szCs w:val="28"/>
              </w:rPr>
            </w:pPr>
            <w:r w:rsidRPr="004543DD">
              <w:rPr>
                <w:b/>
                <w:sz w:val="28"/>
                <w:szCs w:val="28"/>
              </w:rPr>
              <w:t>0</w:t>
            </w:r>
          </w:p>
        </w:tc>
        <w:tc>
          <w:tcPr>
            <w:tcW w:w="1300" w:type="dxa"/>
            <w:noWrap/>
            <w:hideMark/>
          </w:tcPr>
          <w:p w14:paraId="15AE2245" w14:textId="77777777" w:rsidR="004543DD" w:rsidRPr="004543DD" w:rsidRDefault="004543DD" w:rsidP="004543DD">
            <w:pPr>
              <w:rPr>
                <w:b/>
                <w:sz w:val="28"/>
                <w:szCs w:val="28"/>
              </w:rPr>
            </w:pPr>
            <w:r w:rsidRPr="004543DD">
              <w:rPr>
                <w:b/>
                <w:sz w:val="28"/>
                <w:szCs w:val="28"/>
              </w:rPr>
              <w:t>1</w:t>
            </w:r>
          </w:p>
        </w:tc>
        <w:tc>
          <w:tcPr>
            <w:tcW w:w="1300" w:type="dxa"/>
            <w:noWrap/>
            <w:hideMark/>
          </w:tcPr>
          <w:p w14:paraId="54657720" w14:textId="77777777" w:rsidR="004543DD" w:rsidRPr="004543DD" w:rsidRDefault="004543DD" w:rsidP="004543DD">
            <w:pPr>
              <w:rPr>
                <w:b/>
                <w:sz w:val="28"/>
                <w:szCs w:val="28"/>
              </w:rPr>
            </w:pPr>
            <w:r w:rsidRPr="004543DD">
              <w:rPr>
                <w:b/>
                <w:sz w:val="28"/>
                <w:szCs w:val="28"/>
              </w:rPr>
              <w:t>2</w:t>
            </w:r>
          </w:p>
        </w:tc>
        <w:tc>
          <w:tcPr>
            <w:tcW w:w="1300" w:type="dxa"/>
            <w:noWrap/>
            <w:hideMark/>
          </w:tcPr>
          <w:p w14:paraId="5397DA18" w14:textId="77777777" w:rsidR="004543DD" w:rsidRPr="004543DD" w:rsidRDefault="004543DD" w:rsidP="004543DD">
            <w:pPr>
              <w:rPr>
                <w:b/>
                <w:sz w:val="28"/>
                <w:szCs w:val="28"/>
              </w:rPr>
            </w:pPr>
            <w:r w:rsidRPr="004543DD">
              <w:rPr>
                <w:b/>
                <w:sz w:val="28"/>
                <w:szCs w:val="28"/>
              </w:rPr>
              <w:t>3</w:t>
            </w:r>
          </w:p>
        </w:tc>
        <w:tc>
          <w:tcPr>
            <w:tcW w:w="1300" w:type="dxa"/>
            <w:noWrap/>
            <w:hideMark/>
          </w:tcPr>
          <w:p w14:paraId="0396B1E6" w14:textId="77777777" w:rsidR="004543DD" w:rsidRPr="004543DD" w:rsidRDefault="004543DD" w:rsidP="004543DD">
            <w:pPr>
              <w:rPr>
                <w:b/>
                <w:sz w:val="28"/>
                <w:szCs w:val="28"/>
              </w:rPr>
            </w:pPr>
            <w:r w:rsidRPr="004543DD">
              <w:rPr>
                <w:b/>
                <w:sz w:val="28"/>
                <w:szCs w:val="28"/>
              </w:rPr>
              <w:t>4</w:t>
            </w:r>
          </w:p>
        </w:tc>
        <w:tc>
          <w:tcPr>
            <w:tcW w:w="1300" w:type="dxa"/>
            <w:noWrap/>
            <w:hideMark/>
          </w:tcPr>
          <w:p w14:paraId="47337C9A" w14:textId="77777777" w:rsidR="004543DD" w:rsidRPr="004543DD" w:rsidRDefault="004543DD" w:rsidP="004543DD">
            <w:pPr>
              <w:rPr>
                <w:b/>
                <w:sz w:val="28"/>
                <w:szCs w:val="28"/>
              </w:rPr>
            </w:pPr>
            <w:r w:rsidRPr="004543DD">
              <w:rPr>
                <w:b/>
                <w:sz w:val="28"/>
                <w:szCs w:val="28"/>
              </w:rPr>
              <w:t>5</w:t>
            </w:r>
          </w:p>
        </w:tc>
        <w:tc>
          <w:tcPr>
            <w:tcW w:w="1300" w:type="dxa"/>
            <w:noWrap/>
            <w:hideMark/>
          </w:tcPr>
          <w:p w14:paraId="1D3FF4B1" w14:textId="77777777" w:rsidR="004543DD" w:rsidRPr="004543DD" w:rsidRDefault="004543DD" w:rsidP="004543DD">
            <w:pPr>
              <w:rPr>
                <w:b/>
                <w:sz w:val="28"/>
                <w:szCs w:val="28"/>
              </w:rPr>
            </w:pPr>
            <w:r w:rsidRPr="004543DD">
              <w:rPr>
                <w:b/>
                <w:sz w:val="28"/>
                <w:szCs w:val="28"/>
              </w:rPr>
              <w:t>6</w:t>
            </w:r>
          </w:p>
        </w:tc>
      </w:tr>
      <w:tr w:rsidR="004543DD" w:rsidRPr="004543DD" w14:paraId="2005DCDF" w14:textId="77777777" w:rsidTr="004543DD">
        <w:trPr>
          <w:trHeight w:val="320"/>
        </w:trPr>
        <w:tc>
          <w:tcPr>
            <w:tcW w:w="1300" w:type="dxa"/>
            <w:noWrap/>
            <w:hideMark/>
          </w:tcPr>
          <w:p w14:paraId="07BBF021" w14:textId="77777777" w:rsidR="004543DD" w:rsidRPr="004543DD" w:rsidRDefault="004543DD" w:rsidP="004543DD">
            <w:pPr>
              <w:rPr>
                <w:b/>
                <w:sz w:val="28"/>
                <w:szCs w:val="28"/>
              </w:rPr>
            </w:pPr>
            <w:r w:rsidRPr="004543DD">
              <w:rPr>
                <w:b/>
                <w:sz w:val="28"/>
                <w:szCs w:val="28"/>
              </w:rPr>
              <w:t>2</w:t>
            </w:r>
          </w:p>
        </w:tc>
        <w:tc>
          <w:tcPr>
            <w:tcW w:w="1520" w:type="dxa"/>
            <w:noWrap/>
            <w:hideMark/>
          </w:tcPr>
          <w:p w14:paraId="4FF7D6BD" w14:textId="77777777" w:rsidR="004543DD" w:rsidRPr="004543DD" w:rsidRDefault="004543DD" w:rsidP="004543DD">
            <w:pPr>
              <w:rPr>
                <w:b/>
                <w:sz w:val="28"/>
                <w:szCs w:val="28"/>
              </w:rPr>
            </w:pPr>
            <w:r w:rsidRPr="004543DD">
              <w:rPr>
                <w:b/>
                <w:sz w:val="28"/>
                <w:szCs w:val="28"/>
              </w:rPr>
              <w:t>-0.3</w:t>
            </w:r>
          </w:p>
        </w:tc>
        <w:tc>
          <w:tcPr>
            <w:tcW w:w="1300" w:type="dxa"/>
            <w:noWrap/>
            <w:hideMark/>
          </w:tcPr>
          <w:p w14:paraId="71F5E5B3" w14:textId="77777777" w:rsidR="004543DD" w:rsidRPr="004543DD" w:rsidRDefault="004543DD" w:rsidP="004543DD">
            <w:pPr>
              <w:rPr>
                <w:b/>
                <w:sz w:val="28"/>
                <w:szCs w:val="28"/>
              </w:rPr>
            </w:pPr>
            <w:r w:rsidRPr="004543DD">
              <w:rPr>
                <w:b/>
                <w:sz w:val="28"/>
                <w:szCs w:val="28"/>
              </w:rPr>
              <w:t>-0.6</w:t>
            </w:r>
          </w:p>
        </w:tc>
        <w:tc>
          <w:tcPr>
            <w:tcW w:w="1300" w:type="dxa"/>
            <w:noWrap/>
            <w:hideMark/>
          </w:tcPr>
          <w:p w14:paraId="017A0A74" w14:textId="77777777" w:rsidR="004543DD" w:rsidRPr="004543DD" w:rsidRDefault="004543DD" w:rsidP="004543DD">
            <w:pPr>
              <w:rPr>
                <w:b/>
                <w:sz w:val="28"/>
                <w:szCs w:val="28"/>
              </w:rPr>
            </w:pPr>
          </w:p>
        </w:tc>
        <w:tc>
          <w:tcPr>
            <w:tcW w:w="1300" w:type="dxa"/>
            <w:noWrap/>
            <w:hideMark/>
          </w:tcPr>
          <w:p w14:paraId="41EFB285" w14:textId="77777777" w:rsidR="004543DD" w:rsidRPr="004543DD" w:rsidRDefault="004543DD">
            <w:pPr>
              <w:rPr>
                <w:b/>
                <w:sz w:val="28"/>
                <w:szCs w:val="28"/>
              </w:rPr>
            </w:pPr>
          </w:p>
        </w:tc>
        <w:tc>
          <w:tcPr>
            <w:tcW w:w="1300" w:type="dxa"/>
            <w:noWrap/>
            <w:hideMark/>
          </w:tcPr>
          <w:p w14:paraId="23A082DE" w14:textId="77777777" w:rsidR="004543DD" w:rsidRPr="004543DD" w:rsidRDefault="004543DD">
            <w:pPr>
              <w:rPr>
                <w:b/>
                <w:sz w:val="28"/>
                <w:szCs w:val="28"/>
              </w:rPr>
            </w:pPr>
          </w:p>
        </w:tc>
        <w:tc>
          <w:tcPr>
            <w:tcW w:w="1300" w:type="dxa"/>
            <w:noWrap/>
            <w:hideMark/>
          </w:tcPr>
          <w:p w14:paraId="5FC948D3" w14:textId="77777777" w:rsidR="004543DD" w:rsidRPr="004543DD" w:rsidRDefault="004543DD">
            <w:pPr>
              <w:rPr>
                <w:b/>
                <w:sz w:val="28"/>
                <w:szCs w:val="28"/>
              </w:rPr>
            </w:pPr>
          </w:p>
        </w:tc>
        <w:tc>
          <w:tcPr>
            <w:tcW w:w="1300" w:type="dxa"/>
            <w:noWrap/>
            <w:hideMark/>
          </w:tcPr>
          <w:p w14:paraId="47FBC01C" w14:textId="77777777" w:rsidR="004543DD" w:rsidRPr="004543DD" w:rsidRDefault="004543DD">
            <w:pPr>
              <w:rPr>
                <w:b/>
                <w:sz w:val="28"/>
                <w:szCs w:val="28"/>
              </w:rPr>
            </w:pPr>
          </w:p>
        </w:tc>
      </w:tr>
      <w:tr w:rsidR="004543DD" w:rsidRPr="004543DD" w14:paraId="001073C3" w14:textId="77777777" w:rsidTr="004543DD">
        <w:trPr>
          <w:trHeight w:val="320"/>
        </w:trPr>
        <w:tc>
          <w:tcPr>
            <w:tcW w:w="1300" w:type="dxa"/>
            <w:noWrap/>
            <w:hideMark/>
          </w:tcPr>
          <w:p w14:paraId="1BF723AA" w14:textId="77777777" w:rsidR="004543DD" w:rsidRPr="004543DD" w:rsidRDefault="004543DD" w:rsidP="004543DD">
            <w:pPr>
              <w:rPr>
                <w:b/>
                <w:sz w:val="28"/>
                <w:szCs w:val="28"/>
              </w:rPr>
            </w:pPr>
            <w:r w:rsidRPr="004543DD">
              <w:rPr>
                <w:b/>
                <w:sz w:val="28"/>
                <w:szCs w:val="28"/>
              </w:rPr>
              <w:t>3</w:t>
            </w:r>
          </w:p>
        </w:tc>
        <w:tc>
          <w:tcPr>
            <w:tcW w:w="1520" w:type="dxa"/>
            <w:noWrap/>
            <w:hideMark/>
          </w:tcPr>
          <w:p w14:paraId="732003A0" w14:textId="77777777" w:rsidR="004543DD" w:rsidRPr="004543DD" w:rsidRDefault="004543DD" w:rsidP="004543DD">
            <w:pPr>
              <w:rPr>
                <w:b/>
                <w:sz w:val="28"/>
                <w:szCs w:val="28"/>
              </w:rPr>
            </w:pPr>
            <w:r w:rsidRPr="004543DD">
              <w:rPr>
                <w:b/>
                <w:sz w:val="28"/>
                <w:szCs w:val="28"/>
              </w:rPr>
              <w:t>-0.4</w:t>
            </w:r>
          </w:p>
        </w:tc>
        <w:tc>
          <w:tcPr>
            <w:tcW w:w="1300" w:type="dxa"/>
            <w:noWrap/>
            <w:hideMark/>
          </w:tcPr>
          <w:p w14:paraId="2E380D48" w14:textId="77777777" w:rsidR="004543DD" w:rsidRPr="004543DD" w:rsidRDefault="004543DD" w:rsidP="004543DD">
            <w:pPr>
              <w:rPr>
                <w:b/>
                <w:sz w:val="28"/>
                <w:szCs w:val="28"/>
              </w:rPr>
            </w:pPr>
            <w:r w:rsidRPr="004543DD">
              <w:rPr>
                <w:b/>
                <w:sz w:val="28"/>
                <w:szCs w:val="28"/>
              </w:rPr>
              <w:t>-0.4</w:t>
            </w:r>
          </w:p>
        </w:tc>
        <w:tc>
          <w:tcPr>
            <w:tcW w:w="1300" w:type="dxa"/>
            <w:noWrap/>
            <w:hideMark/>
          </w:tcPr>
          <w:p w14:paraId="37625C3F" w14:textId="77777777" w:rsidR="004543DD" w:rsidRPr="004543DD" w:rsidRDefault="004543DD" w:rsidP="004543DD">
            <w:pPr>
              <w:rPr>
                <w:b/>
                <w:sz w:val="28"/>
                <w:szCs w:val="28"/>
              </w:rPr>
            </w:pPr>
            <w:r w:rsidRPr="004543DD">
              <w:rPr>
                <w:b/>
                <w:sz w:val="28"/>
                <w:szCs w:val="28"/>
              </w:rPr>
              <w:t>-0.2</w:t>
            </w:r>
          </w:p>
        </w:tc>
        <w:tc>
          <w:tcPr>
            <w:tcW w:w="1300" w:type="dxa"/>
            <w:noWrap/>
            <w:hideMark/>
          </w:tcPr>
          <w:p w14:paraId="5379B59A" w14:textId="77777777" w:rsidR="004543DD" w:rsidRPr="004543DD" w:rsidRDefault="004543DD" w:rsidP="004543DD">
            <w:pPr>
              <w:rPr>
                <w:b/>
                <w:sz w:val="28"/>
                <w:szCs w:val="28"/>
              </w:rPr>
            </w:pPr>
          </w:p>
        </w:tc>
        <w:tc>
          <w:tcPr>
            <w:tcW w:w="1300" w:type="dxa"/>
            <w:noWrap/>
            <w:hideMark/>
          </w:tcPr>
          <w:p w14:paraId="7F38B12E" w14:textId="77777777" w:rsidR="004543DD" w:rsidRPr="004543DD" w:rsidRDefault="004543DD">
            <w:pPr>
              <w:rPr>
                <w:b/>
                <w:sz w:val="28"/>
                <w:szCs w:val="28"/>
              </w:rPr>
            </w:pPr>
          </w:p>
        </w:tc>
        <w:tc>
          <w:tcPr>
            <w:tcW w:w="1300" w:type="dxa"/>
            <w:noWrap/>
            <w:hideMark/>
          </w:tcPr>
          <w:p w14:paraId="3CF2228E" w14:textId="77777777" w:rsidR="004543DD" w:rsidRPr="004543DD" w:rsidRDefault="004543DD">
            <w:pPr>
              <w:rPr>
                <w:b/>
                <w:sz w:val="28"/>
                <w:szCs w:val="28"/>
              </w:rPr>
            </w:pPr>
          </w:p>
        </w:tc>
        <w:tc>
          <w:tcPr>
            <w:tcW w:w="1300" w:type="dxa"/>
            <w:noWrap/>
            <w:hideMark/>
          </w:tcPr>
          <w:p w14:paraId="30246A58" w14:textId="77777777" w:rsidR="004543DD" w:rsidRPr="004543DD" w:rsidRDefault="004543DD">
            <w:pPr>
              <w:rPr>
                <w:b/>
                <w:sz w:val="28"/>
                <w:szCs w:val="28"/>
              </w:rPr>
            </w:pPr>
          </w:p>
        </w:tc>
      </w:tr>
      <w:tr w:rsidR="004543DD" w:rsidRPr="004543DD" w14:paraId="542B5791" w14:textId="77777777" w:rsidTr="004543DD">
        <w:trPr>
          <w:trHeight w:val="320"/>
        </w:trPr>
        <w:tc>
          <w:tcPr>
            <w:tcW w:w="1300" w:type="dxa"/>
            <w:noWrap/>
            <w:hideMark/>
          </w:tcPr>
          <w:p w14:paraId="12359F63" w14:textId="77777777" w:rsidR="004543DD" w:rsidRPr="004543DD" w:rsidRDefault="004543DD" w:rsidP="004543DD">
            <w:pPr>
              <w:rPr>
                <w:b/>
                <w:sz w:val="28"/>
                <w:szCs w:val="28"/>
              </w:rPr>
            </w:pPr>
            <w:r w:rsidRPr="004543DD">
              <w:rPr>
                <w:b/>
                <w:sz w:val="28"/>
                <w:szCs w:val="28"/>
              </w:rPr>
              <w:t>4</w:t>
            </w:r>
          </w:p>
        </w:tc>
        <w:tc>
          <w:tcPr>
            <w:tcW w:w="1520" w:type="dxa"/>
            <w:noWrap/>
            <w:hideMark/>
          </w:tcPr>
          <w:p w14:paraId="2E305E80" w14:textId="77777777" w:rsidR="004543DD" w:rsidRPr="004543DD" w:rsidRDefault="004543DD" w:rsidP="004543DD">
            <w:pPr>
              <w:rPr>
                <w:b/>
                <w:sz w:val="28"/>
                <w:szCs w:val="28"/>
              </w:rPr>
            </w:pPr>
            <w:r w:rsidRPr="004543DD">
              <w:rPr>
                <w:b/>
                <w:sz w:val="28"/>
                <w:szCs w:val="28"/>
              </w:rPr>
              <w:t>0</w:t>
            </w:r>
          </w:p>
        </w:tc>
        <w:tc>
          <w:tcPr>
            <w:tcW w:w="1300" w:type="dxa"/>
            <w:noWrap/>
            <w:hideMark/>
          </w:tcPr>
          <w:p w14:paraId="10A62B37" w14:textId="77777777" w:rsidR="004543DD" w:rsidRPr="004543DD" w:rsidRDefault="004543DD" w:rsidP="004543DD">
            <w:pPr>
              <w:rPr>
                <w:b/>
                <w:sz w:val="28"/>
                <w:szCs w:val="28"/>
              </w:rPr>
            </w:pPr>
            <w:r w:rsidRPr="004543DD">
              <w:rPr>
                <w:b/>
                <w:sz w:val="28"/>
                <w:szCs w:val="28"/>
              </w:rPr>
              <w:t>-0.1</w:t>
            </w:r>
          </w:p>
        </w:tc>
        <w:tc>
          <w:tcPr>
            <w:tcW w:w="1300" w:type="dxa"/>
            <w:noWrap/>
            <w:hideMark/>
          </w:tcPr>
          <w:p w14:paraId="51D48EA8" w14:textId="77777777" w:rsidR="004543DD" w:rsidRPr="004543DD" w:rsidRDefault="004543DD" w:rsidP="004543DD">
            <w:pPr>
              <w:rPr>
                <w:b/>
                <w:sz w:val="28"/>
                <w:szCs w:val="28"/>
              </w:rPr>
            </w:pPr>
            <w:r w:rsidRPr="004543DD">
              <w:rPr>
                <w:b/>
                <w:sz w:val="28"/>
                <w:szCs w:val="28"/>
              </w:rPr>
              <w:t>-0.2</w:t>
            </w:r>
          </w:p>
        </w:tc>
        <w:tc>
          <w:tcPr>
            <w:tcW w:w="1300" w:type="dxa"/>
            <w:noWrap/>
            <w:hideMark/>
          </w:tcPr>
          <w:p w14:paraId="6271AD47" w14:textId="77777777" w:rsidR="004543DD" w:rsidRPr="004543DD" w:rsidRDefault="004543DD" w:rsidP="004543DD">
            <w:pPr>
              <w:rPr>
                <w:b/>
                <w:sz w:val="28"/>
                <w:szCs w:val="28"/>
              </w:rPr>
            </w:pPr>
            <w:r w:rsidRPr="004543DD">
              <w:rPr>
                <w:b/>
                <w:sz w:val="28"/>
                <w:szCs w:val="28"/>
              </w:rPr>
              <w:t>0.1</w:t>
            </w:r>
          </w:p>
        </w:tc>
        <w:tc>
          <w:tcPr>
            <w:tcW w:w="1300" w:type="dxa"/>
            <w:noWrap/>
            <w:hideMark/>
          </w:tcPr>
          <w:p w14:paraId="3E116C5D" w14:textId="77777777" w:rsidR="004543DD" w:rsidRPr="004543DD" w:rsidRDefault="004543DD" w:rsidP="004543DD">
            <w:pPr>
              <w:rPr>
                <w:b/>
                <w:sz w:val="28"/>
                <w:szCs w:val="28"/>
              </w:rPr>
            </w:pPr>
          </w:p>
        </w:tc>
        <w:tc>
          <w:tcPr>
            <w:tcW w:w="1300" w:type="dxa"/>
            <w:noWrap/>
            <w:hideMark/>
          </w:tcPr>
          <w:p w14:paraId="3D76F105" w14:textId="77777777" w:rsidR="004543DD" w:rsidRPr="004543DD" w:rsidRDefault="004543DD">
            <w:pPr>
              <w:rPr>
                <w:b/>
                <w:sz w:val="28"/>
                <w:szCs w:val="28"/>
              </w:rPr>
            </w:pPr>
          </w:p>
        </w:tc>
        <w:tc>
          <w:tcPr>
            <w:tcW w:w="1300" w:type="dxa"/>
            <w:noWrap/>
            <w:hideMark/>
          </w:tcPr>
          <w:p w14:paraId="1709205D" w14:textId="77777777" w:rsidR="004543DD" w:rsidRPr="004543DD" w:rsidRDefault="004543DD">
            <w:pPr>
              <w:rPr>
                <w:b/>
                <w:sz w:val="28"/>
                <w:szCs w:val="28"/>
              </w:rPr>
            </w:pPr>
          </w:p>
        </w:tc>
      </w:tr>
      <w:tr w:rsidR="004543DD" w:rsidRPr="004543DD" w14:paraId="2DFC6961" w14:textId="77777777" w:rsidTr="004543DD">
        <w:trPr>
          <w:trHeight w:val="320"/>
        </w:trPr>
        <w:tc>
          <w:tcPr>
            <w:tcW w:w="1300" w:type="dxa"/>
            <w:noWrap/>
            <w:hideMark/>
          </w:tcPr>
          <w:p w14:paraId="1DCB2FF7" w14:textId="77777777" w:rsidR="004543DD" w:rsidRPr="004543DD" w:rsidRDefault="004543DD" w:rsidP="004543DD">
            <w:pPr>
              <w:rPr>
                <w:b/>
                <w:sz w:val="28"/>
                <w:szCs w:val="28"/>
              </w:rPr>
            </w:pPr>
            <w:r w:rsidRPr="004543DD">
              <w:rPr>
                <w:b/>
                <w:sz w:val="28"/>
                <w:szCs w:val="28"/>
              </w:rPr>
              <w:t>5</w:t>
            </w:r>
          </w:p>
        </w:tc>
        <w:tc>
          <w:tcPr>
            <w:tcW w:w="1520" w:type="dxa"/>
            <w:noWrap/>
            <w:hideMark/>
          </w:tcPr>
          <w:p w14:paraId="16FBEBDA" w14:textId="77777777" w:rsidR="004543DD" w:rsidRPr="004543DD" w:rsidRDefault="004543DD" w:rsidP="004543DD">
            <w:pPr>
              <w:rPr>
                <w:b/>
                <w:sz w:val="28"/>
                <w:szCs w:val="28"/>
              </w:rPr>
            </w:pPr>
            <w:r w:rsidRPr="004543DD">
              <w:rPr>
                <w:b/>
                <w:sz w:val="28"/>
                <w:szCs w:val="28"/>
              </w:rPr>
              <w:t>-0.1</w:t>
            </w:r>
          </w:p>
        </w:tc>
        <w:tc>
          <w:tcPr>
            <w:tcW w:w="1300" w:type="dxa"/>
            <w:noWrap/>
            <w:hideMark/>
          </w:tcPr>
          <w:p w14:paraId="5993CADB" w14:textId="77777777" w:rsidR="004543DD" w:rsidRPr="004543DD" w:rsidRDefault="004543DD" w:rsidP="004543DD">
            <w:pPr>
              <w:rPr>
                <w:b/>
                <w:sz w:val="28"/>
                <w:szCs w:val="28"/>
              </w:rPr>
            </w:pPr>
            <w:r w:rsidRPr="004543DD">
              <w:rPr>
                <w:b/>
                <w:sz w:val="28"/>
                <w:szCs w:val="28"/>
              </w:rPr>
              <w:t>0</w:t>
            </w:r>
          </w:p>
        </w:tc>
        <w:tc>
          <w:tcPr>
            <w:tcW w:w="1300" w:type="dxa"/>
            <w:noWrap/>
            <w:hideMark/>
          </w:tcPr>
          <w:p w14:paraId="15DA2A66" w14:textId="77777777" w:rsidR="004543DD" w:rsidRPr="004543DD" w:rsidRDefault="004543DD" w:rsidP="004543DD">
            <w:pPr>
              <w:rPr>
                <w:b/>
                <w:sz w:val="28"/>
                <w:szCs w:val="28"/>
              </w:rPr>
            </w:pPr>
            <w:r w:rsidRPr="004543DD">
              <w:rPr>
                <w:b/>
                <w:sz w:val="28"/>
                <w:szCs w:val="28"/>
              </w:rPr>
              <w:t>0.1</w:t>
            </w:r>
          </w:p>
        </w:tc>
        <w:tc>
          <w:tcPr>
            <w:tcW w:w="1300" w:type="dxa"/>
            <w:noWrap/>
            <w:hideMark/>
          </w:tcPr>
          <w:p w14:paraId="6D9941AD" w14:textId="77777777" w:rsidR="004543DD" w:rsidRPr="004543DD" w:rsidRDefault="004543DD" w:rsidP="004543DD">
            <w:pPr>
              <w:rPr>
                <w:b/>
                <w:sz w:val="28"/>
                <w:szCs w:val="28"/>
              </w:rPr>
            </w:pPr>
            <w:r w:rsidRPr="004543DD">
              <w:rPr>
                <w:b/>
                <w:sz w:val="28"/>
                <w:szCs w:val="28"/>
              </w:rPr>
              <w:t>0.3</w:t>
            </w:r>
          </w:p>
        </w:tc>
        <w:tc>
          <w:tcPr>
            <w:tcW w:w="1300" w:type="dxa"/>
            <w:noWrap/>
            <w:hideMark/>
          </w:tcPr>
          <w:p w14:paraId="2B7973A6" w14:textId="77777777" w:rsidR="004543DD" w:rsidRPr="004543DD" w:rsidRDefault="004543DD" w:rsidP="004543DD">
            <w:pPr>
              <w:rPr>
                <w:b/>
                <w:sz w:val="28"/>
                <w:szCs w:val="28"/>
              </w:rPr>
            </w:pPr>
            <w:r w:rsidRPr="004543DD">
              <w:rPr>
                <w:b/>
                <w:sz w:val="28"/>
                <w:szCs w:val="28"/>
              </w:rPr>
              <w:t>0.2</w:t>
            </w:r>
          </w:p>
        </w:tc>
        <w:tc>
          <w:tcPr>
            <w:tcW w:w="1300" w:type="dxa"/>
            <w:noWrap/>
            <w:hideMark/>
          </w:tcPr>
          <w:p w14:paraId="6D566D0F" w14:textId="77777777" w:rsidR="004543DD" w:rsidRPr="004543DD" w:rsidRDefault="004543DD" w:rsidP="004543DD">
            <w:pPr>
              <w:rPr>
                <w:b/>
                <w:sz w:val="28"/>
                <w:szCs w:val="28"/>
              </w:rPr>
            </w:pPr>
          </w:p>
        </w:tc>
        <w:tc>
          <w:tcPr>
            <w:tcW w:w="1300" w:type="dxa"/>
            <w:noWrap/>
            <w:hideMark/>
          </w:tcPr>
          <w:p w14:paraId="27A2DCC6" w14:textId="77777777" w:rsidR="004543DD" w:rsidRPr="004543DD" w:rsidRDefault="004543DD">
            <w:pPr>
              <w:rPr>
                <w:b/>
                <w:sz w:val="28"/>
                <w:szCs w:val="28"/>
              </w:rPr>
            </w:pPr>
          </w:p>
        </w:tc>
      </w:tr>
      <w:tr w:rsidR="004543DD" w:rsidRPr="004543DD" w14:paraId="5842CE83" w14:textId="77777777" w:rsidTr="004543DD">
        <w:trPr>
          <w:trHeight w:val="320"/>
        </w:trPr>
        <w:tc>
          <w:tcPr>
            <w:tcW w:w="1300" w:type="dxa"/>
            <w:noWrap/>
            <w:hideMark/>
          </w:tcPr>
          <w:p w14:paraId="476372B9" w14:textId="77777777" w:rsidR="004543DD" w:rsidRPr="004543DD" w:rsidRDefault="004543DD" w:rsidP="004543DD">
            <w:pPr>
              <w:rPr>
                <w:b/>
                <w:sz w:val="28"/>
                <w:szCs w:val="28"/>
              </w:rPr>
            </w:pPr>
            <w:r w:rsidRPr="004543DD">
              <w:rPr>
                <w:b/>
                <w:sz w:val="28"/>
                <w:szCs w:val="28"/>
              </w:rPr>
              <w:t>6</w:t>
            </w:r>
          </w:p>
        </w:tc>
        <w:tc>
          <w:tcPr>
            <w:tcW w:w="1520" w:type="dxa"/>
            <w:noWrap/>
            <w:hideMark/>
          </w:tcPr>
          <w:p w14:paraId="4D34FDCB" w14:textId="77777777" w:rsidR="004543DD" w:rsidRPr="004543DD" w:rsidRDefault="004543DD" w:rsidP="004543DD">
            <w:pPr>
              <w:rPr>
                <w:b/>
                <w:sz w:val="28"/>
                <w:szCs w:val="28"/>
              </w:rPr>
            </w:pPr>
            <w:r w:rsidRPr="004543DD">
              <w:rPr>
                <w:b/>
                <w:sz w:val="28"/>
                <w:szCs w:val="28"/>
              </w:rPr>
              <w:t>0</w:t>
            </w:r>
          </w:p>
        </w:tc>
        <w:tc>
          <w:tcPr>
            <w:tcW w:w="1300" w:type="dxa"/>
            <w:noWrap/>
            <w:hideMark/>
          </w:tcPr>
          <w:p w14:paraId="04F945BE" w14:textId="77777777" w:rsidR="004543DD" w:rsidRPr="004543DD" w:rsidRDefault="004543DD" w:rsidP="004543DD">
            <w:pPr>
              <w:rPr>
                <w:b/>
                <w:sz w:val="28"/>
                <w:szCs w:val="28"/>
              </w:rPr>
            </w:pPr>
            <w:r w:rsidRPr="004543DD">
              <w:rPr>
                <w:b/>
                <w:sz w:val="28"/>
                <w:szCs w:val="28"/>
              </w:rPr>
              <w:t>0.3</w:t>
            </w:r>
          </w:p>
        </w:tc>
        <w:tc>
          <w:tcPr>
            <w:tcW w:w="1300" w:type="dxa"/>
            <w:noWrap/>
            <w:hideMark/>
          </w:tcPr>
          <w:p w14:paraId="69F53A33" w14:textId="77777777" w:rsidR="004543DD" w:rsidRPr="004543DD" w:rsidRDefault="004543DD" w:rsidP="004543DD">
            <w:pPr>
              <w:rPr>
                <w:b/>
                <w:sz w:val="28"/>
                <w:szCs w:val="28"/>
              </w:rPr>
            </w:pPr>
            <w:r w:rsidRPr="004543DD">
              <w:rPr>
                <w:b/>
                <w:sz w:val="28"/>
                <w:szCs w:val="28"/>
              </w:rPr>
              <w:t>0.2</w:t>
            </w:r>
          </w:p>
        </w:tc>
        <w:tc>
          <w:tcPr>
            <w:tcW w:w="1300" w:type="dxa"/>
            <w:noWrap/>
            <w:hideMark/>
          </w:tcPr>
          <w:p w14:paraId="7FC6AEDC" w14:textId="77777777" w:rsidR="004543DD" w:rsidRPr="004543DD" w:rsidRDefault="004543DD" w:rsidP="004543DD">
            <w:pPr>
              <w:rPr>
                <w:b/>
                <w:sz w:val="28"/>
                <w:szCs w:val="28"/>
              </w:rPr>
            </w:pPr>
            <w:r w:rsidRPr="004543DD">
              <w:rPr>
                <w:b/>
                <w:sz w:val="28"/>
                <w:szCs w:val="28"/>
              </w:rPr>
              <w:t>0.3</w:t>
            </w:r>
          </w:p>
        </w:tc>
        <w:tc>
          <w:tcPr>
            <w:tcW w:w="1300" w:type="dxa"/>
            <w:noWrap/>
            <w:hideMark/>
          </w:tcPr>
          <w:p w14:paraId="042F2330" w14:textId="77777777" w:rsidR="004543DD" w:rsidRPr="004543DD" w:rsidRDefault="004543DD" w:rsidP="004543DD">
            <w:pPr>
              <w:rPr>
                <w:b/>
                <w:sz w:val="28"/>
                <w:szCs w:val="28"/>
              </w:rPr>
            </w:pPr>
            <w:r w:rsidRPr="004543DD">
              <w:rPr>
                <w:b/>
                <w:sz w:val="28"/>
                <w:szCs w:val="28"/>
              </w:rPr>
              <w:t>0.4</w:t>
            </w:r>
          </w:p>
        </w:tc>
        <w:tc>
          <w:tcPr>
            <w:tcW w:w="1300" w:type="dxa"/>
            <w:noWrap/>
            <w:hideMark/>
          </w:tcPr>
          <w:p w14:paraId="1F65A641" w14:textId="77777777" w:rsidR="004543DD" w:rsidRPr="004543DD" w:rsidRDefault="004543DD" w:rsidP="004543DD">
            <w:pPr>
              <w:rPr>
                <w:b/>
                <w:sz w:val="28"/>
                <w:szCs w:val="28"/>
              </w:rPr>
            </w:pPr>
            <w:r w:rsidRPr="004543DD">
              <w:rPr>
                <w:b/>
                <w:sz w:val="28"/>
                <w:szCs w:val="28"/>
              </w:rPr>
              <w:t>0.6</w:t>
            </w:r>
          </w:p>
        </w:tc>
        <w:tc>
          <w:tcPr>
            <w:tcW w:w="1300" w:type="dxa"/>
            <w:noWrap/>
            <w:hideMark/>
          </w:tcPr>
          <w:p w14:paraId="19A7DFD6" w14:textId="77777777" w:rsidR="004543DD" w:rsidRPr="004543DD" w:rsidRDefault="004543DD" w:rsidP="004543DD">
            <w:pPr>
              <w:rPr>
                <w:b/>
                <w:sz w:val="28"/>
                <w:szCs w:val="28"/>
              </w:rPr>
            </w:pPr>
          </w:p>
        </w:tc>
      </w:tr>
      <w:tr w:rsidR="004543DD" w:rsidRPr="004543DD" w14:paraId="74C34752" w14:textId="77777777" w:rsidTr="004543DD">
        <w:trPr>
          <w:trHeight w:val="320"/>
        </w:trPr>
        <w:tc>
          <w:tcPr>
            <w:tcW w:w="1300" w:type="dxa"/>
            <w:noWrap/>
            <w:hideMark/>
          </w:tcPr>
          <w:p w14:paraId="15F95328" w14:textId="77777777" w:rsidR="004543DD" w:rsidRPr="004543DD" w:rsidRDefault="004543DD" w:rsidP="004543DD">
            <w:pPr>
              <w:rPr>
                <w:b/>
                <w:sz w:val="28"/>
                <w:szCs w:val="28"/>
              </w:rPr>
            </w:pPr>
            <w:r w:rsidRPr="004543DD">
              <w:rPr>
                <w:b/>
                <w:sz w:val="28"/>
                <w:szCs w:val="28"/>
              </w:rPr>
              <w:t>7</w:t>
            </w:r>
          </w:p>
        </w:tc>
        <w:tc>
          <w:tcPr>
            <w:tcW w:w="1520" w:type="dxa"/>
            <w:noWrap/>
            <w:hideMark/>
          </w:tcPr>
          <w:p w14:paraId="18F7D7A9" w14:textId="77777777" w:rsidR="004543DD" w:rsidRPr="004543DD" w:rsidRDefault="004543DD" w:rsidP="004543DD">
            <w:pPr>
              <w:rPr>
                <w:b/>
                <w:sz w:val="28"/>
                <w:szCs w:val="28"/>
              </w:rPr>
            </w:pPr>
            <w:r w:rsidRPr="004543DD">
              <w:rPr>
                <w:b/>
                <w:sz w:val="28"/>
                <w:szCs w:val="28"/>
              </w:rPr>
              <w:t>0.4</w:t>
            </w:r>
          </w:p>
        </w:tc>
        <w:tc>
          <w:tcPr>
            <w:tcW w:w="1300" w:type="dxa"/>
            <w:noWrap/>
            <w:hideMark/>
          </w:tcPr>
          <w:p w14:paraId="771935B9" w14:textId="77777777" w:rsidR="004543DD" w:rsidRPr="004543DD" w:rsidRDefault="004543DD" w:rsidP="004543DD">
            <w:pPr>
              <w:rPr>
                <w:b/>
                <w:sz w:val="28"/>
                <w:szCs w:val="28"/>
              </w:rPr>
            </w:pPr>
            <w:r w:rsidRPr="004543DD">
              <w:rPr>
                <w:b/>
                <w:sz w:val="28"/>
                <w:szCs w:val="28"/>
              </w:rPr>
              <w:t>0.5</w:t>
            </w:r>
          </w:p>
        </w:tc>
        <w:tc>
          <w:tcPr>
            <w:tcW w:w="1300" w:type="dxa"/>
            <w:noWrap/>
            <w:hideMark/>
          </w:tcPr>
          <w:p w14:paraId="1D2EF76A" w14:textId="77777777" w:rsidR="004543DD" w:rsidRPr="004543DD" w:rsidRDefault="004543DD" w:rsidP="004543DD">
            <w:pPr>
              <w:rPr>
                <w:b/>
                <w:sz w:val="28"/>
                <w:szCs w:val="28"/>
              </w:rPr>
            </w:pPr>
            <w:r w:rsidRPr="004543DD">
              <w:rPr>
                <w:b/>
                <w:sz w:val="28"/>
                <w:szCs w:val="28"/>
              </w:rPr>
              <w:t>0.8</w:t>
            </w:r>
          </w:p>
        </w:tc>
        <w:tc>
          <w:tcPr>
            <w:tcW w:w="1300" w:type="dxa"/>
            <w:noWrap/>
            <w:hideMark/>
          </w:tcPr>
          <w:p w14:paraId="2DD66511" w14:textId="77777777" w:rsidR="004543DD" w:rsidRPr="004543DD" w:rsidRDefault="004543DD" w:rsidP="004543DD">
            <w:pPr>
              <w:rPr>
                <w:b/>
                <w:sz w:val="28"/>
                <w:szCs w:val="28"/>
              </w:rPr>
            </w:pPr>
            <w:r w:rsidRPr="004543DD">
              <w:rPr>
                <w:b/>
                <w:sz w:val="28"/>
                <w:szCs w:val="28"/>
              </w:rPr>
              <w:t>0.6</w:t>
            </w:r>
          </w:p>
        </w:tc>
        <w:tc>
          <w:tcPr>
            <w:tcW w:w="1300" w:type="dxa"/>
            <w:noWrap/>
            <w:hideMark/>
          </w:tcPr>
          <w:p w14:paraId="14F00290" w14:textId="77777777" w:rsidR="004543DD" w:rsidRPr="004543DD" w:rsidRDefault="004543DD" w:rsidP="004543DD">
            <w:pPr>
              <w:rPr>
                <w:b/>
                <w:sz w:val="28"/>
                <w:szCs w:val="28"/>
              </w:rPr>
            </w:pPr>
            <w:r w:rsidRPr="004543DD">
              <w:rPr>
                <w:b/>
                <w:sz w:val="28"/>
                <w:szCs w:val="28"/>
              </w:rPr>
              <w:t>0.7</w:t>
            </w:r>
          </w:p>
        </w:tc>
        <w:tc>
          <w:tcPr>
            <w:tcW w:w="1300" w:type="dxa"/>
            <w:noWrap/>
            <w:hideMark/>
          </w:tcPr>
          <w:p w14:paraId="569F096E" w14:textId="77777777" w:rsidR="004543DD" w:rsidRPr="004543DD" w:rsidRDefault="004543DD" w:rsidP="004543DD">
            <w:pPr>
              <w:rPr>
                <w:b/>
                <w:sz w:val="28"/>
                <w:szCs w:val="28"/>
              </w:rPr>
            </w:pPr>
            <w:r w:rsidRPr="004543DD">
              <w:rPr>
                <w:b/>
                <w:sz w:val="28"/>
                <w:szCs w:val="28"/>
              </w:rPr>
              <w:t>0.5</w:t>
            </w:r>
          </w:p>
        </w:tc>
        <w:tc>
          <w:tcPr>
            <w:tcW w:w="1300" w:type="dxa"/>
            <w:noWrap/>
            <w:hideMark/>
          </w:tcPr>
          <w:p w14:paraId="2E39A6DD" w14:textId="77777777" w:rsidR="004543DD" w:rsidRPr="004543DD" w:rsidRDefault="004543DD" w:rsidP="004543DD">
            <w:pPr>
              <w:rPr>
                <w:b/>
                <w:sz w:val="28"/>
                <w:szCs w:val="28"/>
              </w:rPr>
            </w:pPr>
            <w:r w:rsidRPr="004543DD">
              <w:rPr>
                <w:b/>
                <w:sz w:val="28"/>
                <w:szCs w:val="28"/>
              </w:rPr>
              <w:t>0.6</w:t>
            </w:r>
          </w:p>
        </w:tc>
      </w:tr>
    </w:tbl>
    <w:p w14:paraId="19274BF0" w14:textId="77777777" w:rsidR="002E7DAB" w:rsidRDefault="002E7DAB" w:rsidP="002E7DAB">
      <w:pPr>
        <w:rPr>
          <w:b/>
          <w:sz w:val="28"/>
          <w:szCs w:val="28"/>
        </w:rPr>
      </w:pPr>
    </w:p>
    <w:p w14:paraId="1398FB0D" w14:textId="77777777" w:rsidR="002E7DAB" w:rsidRDefault="002E7DAB" w:rsidP="002E7DAB">
      <w:pPr>
        <w:rPr>
          <w:b/>
          <w:sz w:val="28"/>
          <w:szCs w:val="28"/>
        </w:rPr>
      </w:pPr>
    </w:p>
    <w:p w14:paraId="5CD1FEA8" w14:textId="77777777" w:rsidR="004543DD" w:rsidRPr="002E7DAB" w:rsidRDefault="002E7DAB" w:rsidP="002E7DAB">
      <w:pPr>
        <w:rPr>
          <w:b/>
          <w:sz w:val="28"/>
          <w:szCs w:val="28"/>
        </w:rPr>
      </w:pPr>
      <w:r>
        <w:rPr>
          <w:b/>
          <w:sz w:val="28"/>
          <w:szCs w:val="28"/>
        </w:rPr>
        <w:t>Single Link</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543DD" w:rsidRPr="004543DD" w14:paraId="06F315D9" w14:textId="77777777" w:rsidTr="004543DD">
        <w:trPr>
          <w:trHeight w:val="320"/>
        </w:trPr>
        <w:tc>
          <w:tcPr>
            <w:tcW w:w="1300" w:type="dxa"/>
            <w:noWrap/>
            <w:hideMark/>
          </w:tcPr>
          <w:p w14:paraId="7F23636C" w14:textId="77777777" w:rsidR="004543DD" w:rsidRPr="004543DD" w:rsidRDefault="004543DD">
            <w:pPr>
              <w:rPr>
                <w:b/>
                <w:sz w:val="28"/>
                <w:szCs w:val="28"/>
              </w:rPr>
            </w:pPr>
            <w:r w:rsidRPr="004543DD">
              <w:rPr>
                <w:b/>
                <w:sz w:val="28"/>
                <w:szCs w:val="28"/>
              </w:rPr>
              <w:t>K-Values</w:t>
            </w:r>
          </w:p>
        </w:tc>
        <w:tc>
          <w:tcPr>
            <w:tcW w:w="1300" w:type="dxa"/>
            <w:noWrap/>
            <w:hideMark/>
          </w:tcPr>
          <w:p w14:paraId="0BAA11C3" w14:textId="77777777" w:rsidR="004543DD" w:rsidRPr="004543DD" w:rsidRDefault="004543DD" w:rsidP="004543DD">
            <w:pPr>
              <w:rPr>
                <w:b/>
                <w:sz w:val="28"/>
                <w:szCs w:val="28"/>
              </w:rPr>
            </w:pPr>
            <w:r w:rsidRPr="004543DD">
              <w:rPr>
                <w:b/>
                <w:sz w:val="28"/>
                <w:szCs w:val="28"/>
              </w:rPr>
              <w:t>0</w:t>
            </w:r>
          </w:p>
        </w:tc>
        <w:tc>
          <w:tcPr>
            <w:tcW w:w="1300" w:type="dxa"/>
            <w:noWrap/>
            <w:hideMark/>
          </w:tcPr>
          <w:p w14:paraId="16780C22" w14:textId="77777777" w:rsidR="004543DD" w:rsidRPr="004543DD" w:rsidRDefault="004543DD" w:rsidP="004543DD">
            <w:pPr>
              <w:rPr>
                <w:b/>
                <w:sz w:val="28"/>
                <w:szCs w:val="28"/>
              </w:rPr>
            </w:pPr>
            <w:r w:rsidRPr="004543DD">
              <w:rPr>
                <w:b/>
                <w:sz w:val="28"/>
                <w:szCs w:val="28"/>
              </w:rPr>
              <w:t>1</w:t>
            </w:r>
          </w:p>
        </w:tc>
        <w:tc>
          <w:tcPr>
            <w:tcW w:w="1300" w:type="dxa"/>
            <w:noWrap/>
            <w:hideMark/>
          </w:tcPr>
          <w:p w14:paraId="167620DD" w14:textId="77777777" w:rsidR="004543DD" w:rsidRPr="004543DD" w:rsidRDefault="004543DD" w:rsidP="004543DD">
            <w:pPr>
              <w:rPr>
                <w:b/>
                <w:sz w:val="28"/>
                <w:szCs w:val="28"/>
              </w:rPr>
            </w:pPr>
            <w:r w:rsidRPr="004543DD">
              <w:rPr>
                <w:b/>
                <w:sz w:val="28"/>
                <w:szCs w:val="28"/>
              </w:rPr>
              <w:t>2</w:t>
            </w:r>
          </w:p>
        </w:tc>
        <w:tc>
          <w:tcPr>
            <w:tcW w:w="1300" w:type="dxa"/>
            <w:noWrap/>
            <w:hideMark/>
          </w:tcPr>
          <w:p w14:paraId="4CD76DB7" w14:textId="77777777" w:rsidR="004543DD" w:rsidRPr="004543DD" w:rsidRDefault="004543DD" w:rsidP="004543DD">
            <w:pPr>
              <w:rPr>
                <w:b/>
                <w:sz w:val="28"/>
                <w:szCs w:val="28"/>
              </w:rPr>
            </w:pPr>
            <w:r w:rsidRPr="004543DD">
              <w:rPr>
                <w:b/>
                <w:sz w:val="28"/>
                <w:szCs w:val="28"/>
              </w:rPr>
              <w:t>3</w:t>
            </w:r>
          </w:p>
        </w:tc>
        <w:tc>
          <w:tcPr>
            <w:tcW w:w="1300" w:type="dxa"/>
            <w:noWrap/>
            <w:hideMark/>
          </w:tcPr>
          <w:p w14:paraId="7F98DE7E" w14:textId="77777777" w:rsidR="004543DD" w:rsidRPr="004543DD" w:rsidRDefault="004543DD" w:rsidP="004543DD">
            <w:pPr>
              <w:rPr>
                <w:b/>
                <w:sz w:val="28"/>
                <w:szCs w:val="28"/>
              </w:rPr>
            </w:pPr>
            <w:r w:rsidRPr="004543DD">
              <w:rPr>
                <w:b/>
                <w:sz w:val="28"/>
                <w:szCs w:val="28"/>
              </w:rPr>
              <w:t>4</w:t>
            </w:r>
          </w:p>
        </w:tc>
        <w:tc>
          <w:tcPr>
            <w:tcW w:w="1300" w:type="dxa"/>
            <w:noWrap/>
            <w:hideMark/>
          </w:tcPr>
          <w:p w14:paraId="269C7FE3" w14:textId="77777777" w:rsidR="004543DD" w:rsidRPr="004543DD" w:rsidRDefault="004543DD" w:rsidP="004543DD">
            <w:pPr>
              <w:rPr>
                <w:b/>
                <w:sz w:val="28"/>
                <w:szCs w:val="28"/>
              </w:rPr>
            </w:pPr>
            <w:r w:rsidRPr="004543DD">
              <w:rPr>
                <w:b/>
                <w:sz w:val="28"/>
                <w:szCs w:val="28"/>
              </w:rPr>
              <w:t>5</w:t>
            </w:r>
          </w:p>
        </w:tc>
        <w:tc>
          <w:tcPr>
            <w:tcW w:w="1300" w:type="dxa"/>
            <w:noWrap/>
            <w:hideMark/>
          </w:tcPr>
          <w:p w14:paraId="5CE2E188" w14:textId="77777777" w:rsidR="004543DD" w:rsidRPr="004543DD" w:rsidRDefault="004543DD" w:rsidP="004543DD">
            <w:pPr>
              <w:rPr>
                <w:b/>
                <w:sz w:val="28"/>
                <w:szCs w:val="28"/>
              </w:rPr>
            </w:pPr>
            <w:r w:rsidRPr="004543DD">
              <w:rPr>
                <w:b/>
                <w:sz w:val="28"/>
                <w:szCs w:val="28"/>
              </w:rPr>
              <w:t>6</w:t>
            </w:r>
          </w:p>
        </w:tc>
      </w:tr>
      <w:tr w:rsidR="004543DD" w:rsidRPr="004543DD" w14:paraId="188221F7" w14:textId="77777777" w:rsidTr="004543DD">
        <w:trPr>
          <w:trHeight w:val="320"/>
        </w:trPr>
        <w:tc>
          <w:tcPr>
            <w:tcW w:w="1300" w:type="dxa"/>
            <w:noWrap/>
            <w:hideMark/>
          </w:tcPr>
          <w:p w14:paraId="3699C77A" w14:textId="77777777" w:rsidR="004543DD" w:rsidRPr="004543DD" w:rsidRDefault="004543DD" w:rsidP="004543DD">
            <w:pPr>
              <w:rPr>
                <w:b/>
                <w:sz w:val="28"/>
                <w:szCs w:val="28"/>
              </w:rPr>
            </w:pPr>
            <w:r w:rsidRPr="004543DD">
              <w:rPr>
                <w:b/>
                <w:sz w:val="28"/>
                <w:szCs w:val="28"/>
              </w:rPr>
              <w:t>2</w:t>
            </w:r>
          </w:p>
        </w:tc>
        <w:tc>
          <w:tcPr>
            <w:tcW w:w="1300" w:type="dxa"/>
            <w:noWrap/>
            <w:hideMark/>
          </w:tcPr>
          <w:p w14:paraId="44865C27" w14:textId="6D8B5861" w:rsidR="004543DD" w:rsidRPr="004543DD" w:rsidRDefault="004543DD" w:rsidP="004543DD">
            <w:pPr>
              <w:rPr>
                <w:b/>
                <w:sz w:val="28"/>
                <w:szCs w:val="28"/>
              </w:rPr>
            </w:pPr>
            <w:r w:rsidRPr="004543DD">
              <w:rPr>
                <w:b/>
                <w:sz w:val="28"/>
                <w:szCs w:val="28"/>
              </w:rPr>
              <w:t>-0.</w:t>
            </w:r>
            <w:r>
              <w:rPr>
                <w:b/>
                <w:sz w:val="28"/>
                <w:szCs w:val="28"/>
              </w:rPr>
              <w:t>7</w:t>
            </w:r>
          </w:p>
        </w:tc>
        <w:tc>
          <w:tcPr>
            <w:tcW w:w="1300" w:type="dxa"/>
            <w:noWrap/>
            <w:hideMark/>
          </w:tcPr>
          <w:p w14:paraId="718A0CEC" w14:textId="5420A740" w:rsidR="004543DD" w:rsidRPr="004543DD" w:rsidRDefault="004543DD" w:rsidP="004543DD">
            <w:pPr>
              <w:rPr>
                <w:b/>
                <w:sz w:val="28"/>
                <w:szCs w:val="28"/>
              </w:rPr>
            </w:pPr>
            <w:r w:rsidRPr="004543DD">
              <w:rPr>
                <w:b/>
                <w:sz w:val="28"/>
                <w:szCs w:val="28"/>
              </w:rPr>
              <w:t>-0.</w:t>
            </w:r>
            <w:r>
              <w:rPr>
                <w:b/>
                <w:sz w:val="28"/>
                <w:szCs w:val="28"/>
              </w:rPr>
              <w:t>5</w:t>
            </w:r>
          </w:p>
        </w:tc>
        <w:tc>
          <w:tcPr>
            <w:tcW w:w="1300" w:type="dxa"/>
            <w:noWrap/>
            <w:hideMark/>
          </w:tcPr>
          <w:p w14:paraId="581EA1E2" w14:textId="77777777" w:rsidR="004543DD" w:rsidRPr="004543DD" w:rsidRDefault="004543DD" w:rsidP="004543DD">
            <w:pPr>
              <w:rPr>
                <w:b/>
                <w:sz w:val="28"/>
                <w:szCs w:val="28"/>
              </w:rPr>
            </w:pPr>
          </w:p>
        </w:tc>
        <w:tc>
          <w:tcPr>
            <w:tcW w:w="1300" w:type="dxa"/>
            <w:noWrap/>
            <w:hideMark/>
          </w:tcPr>
          <w:p w14:paraId="2A354786" w14:textId="77777777" w:rsidR="004543DD" w:rsidRPr="004543DD" w:rsidRDefault="004543DD">
            <w:pPr>
              <w:rPr>
                <w:b/>
                <w:sz w:val="28"/>
                <w:szCs w:val="28"/>
              </w:rPr>
            </w:pPr>
          </w:p>
        </w:tc>
        <w:tc>
          <w:tcPr>
            <w:tcW w:w="1300" w:type="dxa"/>
            <w:noWrap/>
            <w:hideMark/>
          </w:tcPr>
          <w:p w14:paraId="5905B326" w14:textId="77777777" w:rsidR="004543DD" w:rsidRPr="004543DD" w:rsidRDefault="004543DD">
            <w:pPr>
              <w:rPr>
                <w:b/>
                <w:sz w:val="28"/>
                <w:szCs w:val="28"/>
              </w:rPr>
            </w:pPr>
          </w:p>
        </w:tc>
        <w:tc>
          <w:tcPr>
            <w:tcW w:w="1300" w:type="dxa"/>
            <w:noWrap/>
            <w:hideMark/>
          </w:tcPr>
          <w:p w14:paraId="4AB69FFB" w14:textId="77777777" w:rsidR="004543DD" w:rsidRPr="004543DD" w:rsidRDefault="004543DD">
            <w:pPr>
              <w:rPr>
                <w:b/>
                <w:sz w:val="28"/>
                <w:szCs w:val="28"/>
              </w:rPr>
            </w:pPr>
          </w:p>
        </w:tc>
        <w:tc>
          <w:tcPr>
            <w:tcW w:w="1300" w:type="dxa"/>
            <w:noWrap/>
            <w:hideMark/>
          </w:tcPr>
          <w:p w14:paraId="5B243E98" w14:textId="77777777" w:rsidR="004543DD" w:rsidRPr="004543DD" w:rsidRDefault="004543DD">
            <w:pPr>
              <w:rPr>
                <w:b/>
                <w:sz w:val="28"/>
                <w:szCs w:val="28"/>
              </w:rPr>
            </w:pPr>
          </w:p>
        </w:tc>
      </w:tr>
      <w:tr w:rsidR="004543DD" w:rsidRPr="004543DD" w14:paraId="365EFEAC" w14:textId="77777777" w:rsidTr="004543DD">
        <w:trPr>
          <w:trHeight w:val="320"/>
        </w:trPr>
        <w:tc>
          <w:tcPr>
            <w:tcW w:w="1300" w:type="dxa"/>
            <w:noWrap/>
            <w:hideMark/>
          </w:tcPr>
          <w:p w14:paraId="535DC4EA" w14:textId="77777777" w:rsidR="004543DD" w:rsidRPr="004543DD" w:rsidRDefault="004543DD" w:rsidP="004543DD">
            <w:pPr>
              <w:rPr>
                <w:b/>
                <w:sz w:val="28"/>
                <w:szCs w:val="28"/>
              </w:rPr>
            </w:pPr>
            <w:r w:rsidRPr="004543DD">
              <w:rPr>
                <w:b/>
                <w:sz w:val="28"/>
                <w:szCs w:val="28"/>
              </w:rPr>
              <w:t>3</w:t>
            </w:r>
          </w:p>
        </w:tc>
        <w:tc>
          <w:tcPr>
            <w:tcW w:w="1300" w:type="dxa"/>
            <w:noWrap/>
            <w:hideMark/>
          </w:tcPr>
          <w:p w14:paraId="4F582A16" w14:textId="0A446083" w:rsidR="004543DD" w:rsidRPr="004543DD" w:rsidRDefault="004543DD" w:rsidP="004543DD">
            <w:pPr>
              <w:rPr>
                <w:b/>
                <w:sz w:val="28"/>
                <w:szCs w:val="28"/>
              </w:rPr>
            </w:pPr>
            <w:r w:rsidRPr="004543DD">
              <w:rPr>
                <w:b/>
                <w:sz w:val="28"/>
                <w:szCs w:val="28"/>
              </w:rPr>
              <w:t>-0.</w:t>
            </w:r>
            <w:r>
              <w:rPr>
                <w:b/>
                <w:sz w:val="28"/>
                <w:szCs w:val="28"/>
              </w:rPr>
              <w:t>3</w:t>
            </w:r>
          </w:p>
        </w:tc>
        <w:tc>
          <w:tcPr>
            <w:tcW w:w="1300" w:type="dxa"/>
            <w:noWrap/>
            <w:hideMark/>
          </w:tcPr>
          <w:p w14:paraId="0453691C" w14:textId="12A13726" w:rsidR="004543DD" w:rsidRPr="004543DD" w:rsidRDefault="004543DD" w:rsidP="004543DD">
            <w:pPr>
              <w:rPr>
                <w:b/>
                <w:sz w:val="28"/>
                <w:szCs w:val="28"/>
              </w:rPr>
            </w:pPr>
            <w:r w:rsidRPr="004543DD">
              <w:rPr>
                <w:b/>
                <w:sz w:val="28"/>
                <w:szCs w:val="28"/>
              </w:rPr>
              <w:t>-0.</w:t>
            </w:r>
            <w:r>
              <w:rPr>
                <w:b/>
                <w:sz w:val="28"/>
                <w:szCs w:val="28"/>
              </w:rPr>
              <w:t>1</w:t>
            </w:r>
          </w:p>
        </w:tc>
        <w:tc>
          <w:tcPr>
            <w:tcW w:w="1300" w:type="dxa"/>
            <w:noWrap/>
            <w:hideMark/>
          </w:tcPr>
          <w:p w14:paraId="0EF405DB" w14:textId="5C3E0CF4" w:rsidR="004543DD" w:rsidRPr="004543DD" w:rsidRDefault="004543DD" w:rsidP="004543DD">
            <w:pPr>
              <w:rPr>
                <w:b/>
                <w:sz w:val="28"/>
                <w:szCs w:val="28"/>
              </w:rPr>
            </w:pPr>
            <w:r w:rsidRPr="004543DD">
              <w:rPr>
                <w:b/>
                <w:sz w:val="28"/>
                <w:szCs w:val="28"/>
              </w:rPr>
              <w:t>-0.</w:t>
            </w:r>
            <w:r>
              <w:rPr>
                <w:b/>
                <w:sz w:val="28"/>
                <w:szCs w:val="28"/>
              </w:rPr>
              <w:t>4</w:t>
            </w:r>
          </w:p>
        </w:tc>
        <w:tc>
          <w:tcPr>
            <w:tcW w:w="1300" w:type="dxa"/>
            <w:noWrap/>
            <w:hideMark/>
          </w:tcPr>
          <w:p w14:paraId="42915C41" w14:textId="77777777" w:rsidR="004543DD" w:rsidRPr="004543DD" w:rsidRDefault="004543DD" w:rsidP="004543DD">
            <w:pPr>
              <w:rPr>
                <w:b/>
                <w:sz w:val="28"/>
                <w:szCs w:val="28"/>
              </w:rPr>
            </w:pPr>
          </w:p>
        </w:tc>
        <w:tc>
          <w:tcPr>
            <w:tcW w:w="1300" w:type="dxa"/>
            <w:noWrap/>
            <w:hideMark/>
          </w:tcPr>
          <w:p w14:paraId="5D8CFE35" w14:textId="77777777" w:rsidR="004543DD" w:rsidRPr="004543DD" w:rsidRDefault="004543DD">
            <w:pPr>
              <w:rPr>
                <w:b/>
                <w:sz w:val="28"/>
                <w:szCs w:val="28"/>
              </w:rPr>
            </w:pPr>
          </w:p>
        </w:tc>
        <w:tc>
          <w:tcPr>
            <w:tcW w:w="1300" w:type="dxa"/>
            <w:noWrap/>
            <w:hideMark/>
          </w:tcPr>
          <w:p w14:paraId="050113DF" w14:textId="77777777" w:rsidR="004543DD" w:rsidRPr="004543DD" w:rsidRDefault="004543DD">
            <w:pPr>
              <w:rPr>
                <w:b/>
                <w:sz w:val="28"/>
                <w:szCs w:val="28"/>
              </w:rPr>
            </w:pPr>
          </w:p>
        </w:tc>
        <w:tc>
          <w:tcPr>
            <w:tcW w:w="1300" w:type="dxa"/>
            <w:noWrap/>
            <w:hideMark/>
          </w:tcPr>
          <w:p w14:paraId="1563F29C" w14:textId="77777777" w:rsidR="004543DD" w:rsidRPr="004543DD" w:rsidRDefault="004543DD">
            <w:pPr>
              <w:rPr>
                <w:b/>
                <w:sz w:val="28"/>
                <w:szCs w:val="28"/>
              </w:rPr>
            </w:pPr>
          </w:p>
        </w:tc>
      </w:tr>
      <w:tr w:rsidR="004543DD" w:rsidRPr="004543DD" w14:paraId="27CD434C" w14:textId="77777777" w:rsidTr="004543DD">
        <w:trPr>
          <w:trHeight w:val="320"/>
        </w:trPr>
        <w:tc>
          <w:tcPr>
            <w:tcW w:w="1300" w:type="dxa"/>
            <w:noWrap/>
            <w:hideMark/>
          </w:tcPr>
          <w:p w14:paraId="755CE891" w14:textId="77777777" w:rsidR="004543DD" w:rsidRPr="004543DD" w:rsidRDefault="004543DD" w:rsidP="004543DD">
            <w:pPr>
              <w:rPr>
                <w:b/>
                <w:sz w:val="28"/>
                <w:szCs w:val="28"/>
              </w:rPr>
            </w:pPr>
            <w:r w:rsidRPr="004543DD">
              <w:rPr>
                <w:b/>
                <w:sz w:val="28"/>
                <w:szCs w:val="28"/>
              </w:rPr>
              <w:t>4</w:t>
            </w:r>
          </w:p>
        </w:tc>
        <w:tc>
          <w:tcPr>
            <w:tcW w:w="1300" w:type="dxa"/>
            <w:noWrap/>
            <w:hideMark/>
          </w:tcPr>
          <w:p w14:paraId="08530BF3" w14:textId="77777777" w:rsidR="004543DD" w:rsidRPr="004543DD" w:rsidRDefault="004543DD" w:rsidP="004543DD">
            <w:pPr>
              <w:rPr>
                <w:b/>
                <w:sz w:val="28"/>
                <w:szCs w:val="28"/>
              </w:rPr>
            </w:pPr>
            <w:r w:rsidRPr="004543DD">
              <w:rPr>
                <w:b/>
                <w:sz w:val="28"/>
                <w:szCs w:val="28"/>
              </w:rPr>
              <w:t>0</w:t>
            </w:r>
          </w:p>
        </w:tc>
        <w:tc>
          <w:tcPr>
            <w:tcW w:w="1300" w:type="dxa"/>
            <w:noWrap/>
            <w:hideMark/>
          </w:tcPr>
          <w:p w14:paraId="74FE13C2" w14:textId="77777777" w:rsidR="004543DD" w:rsidRPr="004543DD" w:rsidRDefault="004543DD" w:rsidP="004543DD">
            <w:pPr>
              <w:rPr>
                <w:b/>
                <w:sz w:val="28"/>
                <w:szCs w:val="28"/>
              </w:rPr>
            </w:pPr>
            <w:r w:rsidRPr="004543DD">
              <w:rPr>
                <w:b/>
                <w:sz w:val="28"/>
                <w:szCs w:val="28"/>
              </w:rPr>
              <w:t>-0.1</w:t>
            </w:r>
          </w:p>
        </w:tc>
        <w:tc>
          <w:tcPr>
            <w:tcW w:w="1300" w:type="dxa"/>
            <w:noWrap/>
            <w:hideMark/>
          </w:tcPr>
          <w:p w14:paraId="5248F94E" w14:textId="05086454" w:rsidR="004543DD" w:rsidRPr="004543DD" w:rsidRDefault="004543DD" w:rsidP="004543DD">
            <w:pPr>
              <w:rPr>
                <w:b/>
                <w:sz w:val="28"/>
                <w:szCs w:val="28"/>
              </w:rPr>
            </w:pPr>
            <w:r w:rsidRPr="004543DD">
              <w:rPr>
                <w:b/>
                <w:sz w:val="28"/>
                <w:szCs w:val="28"/>
              </w:rPr>
              <w:t>-0.</w:t>
            </w:r>
            <w:r>
              <w:rPr>
                <w:b/>
                <w:sz w:val="28"/>
                <w:szCs w:val="28"/>
              </w:rPr>
              <w:t>2</w:t>
            </w:r>
          </w:p>
        </w:tc>
        <w:tc>
          <w:tcPr>
            <w:tcW w:w="1300" w:type="dxa"/>
            <w:noWrap/>
            <w:hideMark/>
          </w:tcPr>
          <w:p w14:paraId="5490FAAE" w14:textId="77777777" w:rsidR="004543DD" w:rsidRPr="004543DD" w:rsidRDefault="004543DD" w:rsidP="004543DD">
            <w:pPr>
              <w:rPr>
                <w:b/>
                <w:sz w:val="28"/>
                <w:szCs w:val="28"/>
              </w:rPr>
            </w:pPr>
            <w:r w:rsidRPr="004543DD">
              <w:rPr>
                <w:b/>
                <w:sz w:val="28"/>
                <w:szCs w:val="28"/>
              </w:rPr>
              <w:t>0</w:t>
            </w:r>
          </w:p>
        </w:tc>
        <w:tc>
          <w:tcPr>
            <w:tcW w:w="1300" w:type="dxa"/>
            <w:noWrap/>
            <w:hideMark/>
          </w:tcPr>
          <w:p w14:paraId="58EDBAC7" w14:textId="77777777" w:rsidR="004543DD" w:rsidRPr="004543DD" w:rsidRDefault="004543DD" w:rsidP="004543DD">
            <w:pPr>
              <w:rPr>
                <w:b/>
                <w:sz w:val="28"/>
                <w:szCs w:val="28"/>
              </w:rPr>
            </w:pPr>
          </w:p>
        </w:tc>
        <w:tc>
          <w:tcPr>
            <w:tcW w:w="1300" w:type="dxa"/>
            <w:noWrap/>
            <w:hideMark/>
          </w:tcPr>
          <w:p w14:paraId="33234EC4" w14:textId="77777777" w:rsidR="004543DD" w:rsidRPr="004543DD" w:rsidRDefault="004543DD">
            <w:pPr>
              <w:rPr>
                <w:b/>
                <w:sz w:val="28"/>
                <w:szCs w:val="28"/>
              </w:rPr>
            </w:pPr>
          </w:p>
        </w:tc>
        <w:tc>
          <w:tcPr>
            <w:tcW w:w="1300" w:type="dxa"/>
            <w:noWrap/>
            <w:hideMark/>
          </w:tcPr>
          <w:p w14:paraId="6C919350" w14:textId="77777777" w:rsidR="004543DD" w:rsidRPr="004543DD" w:rsidRDefault="004543DD">
            <w:pPr>
              <w:rPr>
                <w:b/>
                <w:sz w:val="28"/>
                <w:szCs w:val="28"/>
              </w:rPr>
            </w:pPr>
          </w:p>
        </w:tc>
      </w:tr>
      <w:tr w:rsidR="004543DD" w:rsidRPr="004543DD" w14:paraId="30C42E84" w14:textId="77777777" w:rsidTr="004543DD">
        <w:trPr>
          <w:trHeight w:val="320"/>
        </w:trPr>
        <w:tc>
          <w:tcPr>
            <w:tcW w:w="1300" w:type="dxa"/>
            <w:noWrap/>
            <w:hideMark/>
          </w:tcPr>
          <w:p w14:paraId="089B8F5B" w14:textId="77777777" w:rsidR="004543DD" w:rsidRPr="004543DD" w:rsidRDefault="004543DD" w:rsidP="004543DD">
            <w:pPr>
              <w:rPr>
                <w:b/>
                <w:sz w:val="28"/>
                <w:szCs w:val="28"/>
              </w:rPr>
            </w:pPr>
            <w:r w:rsidRPr="004543DD">
              <w:rPr>
                <w:b/>
                <w:sz w:val="28"/>
                <w:szCs w:val="28"/>
              </w:rPr>
              <w:t>5</w:t>
            </w:r>
          </w:p>
        </w:tc>
        <w:tc>
          <w:tcPr>
            <w:tcW w:w="1300" w:type="dxa"/>
            <w:noWrap/>
            <w:hideMark/>
          </w:tcPr>
          <w:p w14:paraId="52D75A3E" w14:textId="52D6410A" w:rsidR="004543DD" w:rsidRPr="004543DD" w:rsidRDefault="004543DD" w:rsidP="004543DD">
            <w:pPr>
              <w:rPr>
                <w:b/>
                <w:sz w:val="28"/>
                <w:szCs w:val="28"/>
              </w:rPr>
            </w:pPr>
            <w:r>
              <w:rPr>
                <w:b/>
                <w:sz w:val="28"/>
                <w:szCs w:val="28"/>
              </w:rPr>
              <w:t>0</w:t>
            </w:r>
          </w:p>
        </w:tc>
        <w:tc>
          <w:tcPr>
            <w:tcW w:w="1300" w:type="dxa"/>
            <w:noWrap/>
            <w:hideMark/>
          </w:tcPr>
          <w:p w14:paraId="2AADE19A" w14:textId="77777777" w:rsidR="004543DD" w:rsidRPr="004543DD" w:rsidRDefault="004543DD" w:rsidP="004543DD">
            <w:pPr>
              <w:rPr>
                <w:b/>
                <w:sz w:val="28"/>
                <w:szCs w:val="28"/>
              </w:rPr>
            </w:pPr>
            <w:r w:rsidRPr="004543DD">
              <w:rPr>
                <w:b/>
                <w:sz w:val="28"/>
                <w:szCs w:val="28"/>
              </w:rPr>
              <w:t>0.2</w:t>
            </w:r>
          </w:p>
        </w:tc>
        <w:tc>
          <w:tcPr>
            <w:tcW w:w="1300" w:type="dxa"/>
            <w:noWrap/>
            <w:hideMark/>
          </w:tcPr>
          <w:p w14:paraId="6BB4AC0E" w14:textId="77777777" w:rsidR="004543DD" w:rsidRPr="004543DD" w:rsidRDefault="004543DD" w:rsidP="004543DD">
            <w:pPr>
              <w:rPr>
                <w:b/>
                <w:sz w:val="28"/>
                <w:szCs w:val="28"/>
              </w:rPr>
            </w:pPr>
            <w:r w:rsidRPr="004543DD">
              <w:rPr>
                <w:b/>
                <w:sz w:val="28"/>
                <w:szCs w:val="28"/>
              </w:rPr>
              <w:t>0.3</w:t>
            </w:r>
          </w:p>
        </w:tc>
        <w:tc>
          <w:tcPr>
            <w:tcW w:w="1300" w:type="dxa"/>
            <w:noWrap/>
            <w:hideMark/>
          </w:tcPr>
          <w:p w14:paraId="0D39907F" w14:textId="77777777" w:rsidR="004543DD" w:rsidRPr="004543DD" w:rsidRDefault="004543DD" w:rsidP="004543DD">
            <w:pPr>
              <w:rPr>
                <w:b/>
                <w:sz w:val="28"/>
                <w:szCs w:val="28"/>
              </w:rPr>
            </w:pPr>
            <w:r w:rsidRPr="004543DD">
              <w:rPr>
                <w:b/>
                <w:sz w:val="28"/>
                <w:szCs w:val="28"/>
              </w:rPr>
              <w:t>0.1</w:t>
            </w:r>
          </w:p>
        </w:tc>
        <w:tc>
          <w:tcPr>
            <w:tcW w:w="1300" w:type="dxa"/>
            <w:noWrap/>
            <w:hideMark/>
          </w:tcPr>
          <w:p w14:paraId="746911E7" w14:textId="77777777" w:rsidR="004543DD" w:rsidRPr="004543DD" w:rsidRDefault="004543DD" w:rsidP="004543DD">
            <w:pPr>
              <w:rPr>
                <w:b/>
                <w:sz w:val="28"/>
                <w:szCs w:val="28"/>
              </w:rPr>
            </w:pPr>
            <w:r w:rsidRPr="004543DD">
              <w:rPr>
                <w:b/>
                <w:sz w:val="28"/>
                <w:szCs w:val="28"/>
              </w:rPr>
              <w:t>0.2</w:t>
            </w:r>
          </w:p>
        </w:tc>
        <w:tc>
          <w:tcPr>
            <w:tcW w:w="1300" w:type="dxa"/>
            <w:noWrap/>
            <w:hideMark/>
          </w:tcPr>
          <w:p w14:paraId="7DE0CCD7" w14:textId="77777777" w:rsidR="004543DD" w:rsidRPr="004543DD" w:rsidRDefault="004543DD" w:rsidP="004543DD">
            <w:pPr>
              <w:rPr>
                <w:b/>
                <w:sz w:val="28"/>
                <w:szCs w:val="28"/>
              </w:rPr>
            </w:pPr>
          </w:p>
        </w:tc>
        <w:tc>
          <w:tcPr>
            <w:tcW w:w="1300" w:type="dxa"/>
            <w:noWrap/>
            <w:hideMark/>
          </w:tcPr>
          <w:p w14:paraId="341F531C" w14:textId="77777777" w:rsidR="004543DD" w:rsidRPr="004543DD" w:rsidRDefault="004543DD">
            <w:pPr>
              <w:rPr>
                <w:b/>
                <w:sz w:val="28"/>
                <w:szCs w:val="28"/>
              </w:rPr>
            </w:pPr>
          </w:p>
        </w:tc>
      </w:tr>
      <w:tr w:rsidR="004543DD" w:rsidRPr="004543DD" w14:paraId="1FB992DE" w14:textId="77777777" w:rsidTr="004543DD">
        <w:trPr>
          <w:trHeight w:val="320"/>
        </w:trPr>
        <w:tc>
          <w:tcPr>
            <w:tcW w:w="1300" w:type="dxa"/>
            <w:noWrap/>
            <w:hideMark/>
          </w:tcPr>
          <w:p w14:paraId="71395385" w14:textId="77777777" w:rsidR="004543DD" w:rsidRPr="004543DD" w:rsidRDefault="004543DD" w:rsidP="004543DD">
            <w:pPr>
              <w:rPr>
                <w:b/>
                <w:sz w:val="28"/>
                <w:szCs w:val="28"/>
              </w:rPr>
            </w:pPr>
            <w:r w:rsidRPr="004543DD">
              <w:rPr>
                <w:b/>
                <w:sz w:val="28"/>
                <w:szCs w:val="28"/>
              </w:rPr>
              <w:t>6</w:t>
            </w:r>
          </w:p>
        </w:tc>
        <w:tc>
          <w:tcPr>
            <w:tcW w:w="1300" w:type="dxa"/>
            <w:noWrap/>
            <w:hideMark/>
          </w:tcPr>
          <w:p w14:paraId="3F45FFCA" w14:textId="2563BC8E" w:rsidR="004543DD" w:rsidRPr="004543DD" w:rsidRDefault="004543DD" w:rsidP="004543DD">
            <w:pPr>
              <w:rPr>
                <w:b/>
                <w:sz w:val="28"/>
                <w:szCs w:val="28"/>
              </w:rPr>
            </w:pPr>
            <w:r w:rsidRPr="004543DD">
              <w:rPr>
                <w:b/>
                <w:sz w:val="28"/>
                <w:szCs w:val="28"/>
              </w:rPr>
              <w:t>0.</w:t>
            </w:r>
            <w:r>
              <w:rPr>
                <w:b/>
                <w:sz w:val="28"/>
                <w:szCs w:val="28"/>
              </w:rPr>
              <w:t>2</w:t>
            </w:r>
          </w:p>
        </w:tc>
        <w:tc>
          <w:tcPr>
            <w:tcW w:w="1300" w:type="dxa"/>
            <w:noWrap/>
            <w:hideMark/>
          </w:tcPr>
          <w:p w14:paraId="7B72C690" w14:textId="77152789" w:rsidR="004543DD" w:rsidRPr="004543DD" w:rsidRDefault="004543DD" w:rsidP="004543DD">
            <w:pPr>
              <w:rPr>
                <w:b/>
                <w:sz w:val="28"/>
                <w:szCs w:val="28"/>
              </w:rPr>
            </w:pPr>
            <w:r w:rsidRPr="004543DD">
              <w:rPr>
                <w:b/>
                <w:sz w:val="28"/>
                <w:szCs w:val="28"/>
              </w:rPr>
              <w:t>0.</w:t>
            </w:r>
            <w:r>
              <w:rPr>
                <w:b/>
                <w:sz w:val="28"/>
                <w:szCs w:val="28"/>
              </w:rPr>
              <w:t>1</w:t>
            </w:r>
          </w:p>
        </w:tc>
        <w:tc>
          <w:tcPr>
            <w:tcW w:w="1300" w:type="dxa"/>
            <w:noWrap/>
            <w:hideMark/>
          </w:tcPr>
          <w:p w14:paraId="7D388EE0" w14:textId="77777777" w:rsidR="004543DD" w:rsidRPr="004543DD" w:rsidRDefault="004543DD" w:rsidP="004543DD">
            <w:pPr>
              <w:rPr>
                <w:b/>
                <w:sz w:val="28"/>
                <w:szCs w:val="28"/>
              </w:rPr>
            </w:pPr>
            <w:r w:rsidRPr="004543DD">
              <w:rPr>
                <w:b/>
                <w:sz w:val="28"/>
                <w:szCs w:val="28"/>
              </w:rPr>
              <w:t>0.5</w:t>
            </w:r>
          </w:p>
        </w:tc>
        <w:tc>
          <w:tcPr>
            <w:tcW w:w="1300" w:type="dxa"/>
            <w:noWrap/>
            <w:hideMark/>
          </w:tcPr>
          <w:p w14:paraId="7DCE1E48" w14:textId="48344C75" w:rsidR="004543DD" w:rsidRPr="004543DD" w:rsidRDefault="004543DD" w:rsidP="004543DD">
            <w:pPr>
              <w:rPr>
                <w:b/>
                <w:sz w:val="28"/>
                <w:szCs w:val="28"/>
              </w:rPr>
            </w:pPr>
            <w:r w:rsidRPr="004543DD">
              <w:rPr>
                <w:b/>
                <w:sz w:val="28"/>
                <w:szCs w:val="28"/>
              </w:rPr>
              <w:t>0</w:t>
            </w:r>
          </w:p>
        </w:tc>
        <w:tc>
          <w:tcPr>
            <w:tcW w:w="1300" w:type="dxa"/>
            <w:noWrap/>
            <w:hideMark/>
          </w:tcPr>
          <w:p w14:paraId="676CBA8C" w14:textId="77777777" w:rsidR="004543DD" w:rsidRPr="004543DD" w:rsidRDefault="004543DD" w:rsidP="004543DD">
            <w:pPr>
              <w:rPr>
                <w:b/>
                <w:sz w:val="28"/>
                <w:szCs w:val="28"/>
              </w:rPr>
            </w:pPr>
            <w:r w:rsidRPr="004543DD">
              <w:rPr>
                <w:b/>
                <w:sz w:val="28"/>
                <w:szCs w:val="28"/>
              </w:rPr>
              <w:t>0.4</w:t>
            </w:r>
          </w:p>
        </w:tc>
        <w:tc>
          <w:tcPr>
            <w:tcW w:w="1300" w:type="dxa"/>
            <w:noWrap/>
            <w:hideMark/>
          </w:tcPr>
          <w:p w14:paraId="513D7994" w14:textId="77777777" w:rsidR="004543DD" w:rsidRPr="004543DD" w:rsidRDefault="004543DD" w:rsidP="004543DD">
            <w:pPr>
              <w:rPr>
                <w:b/>
                <w:sz w:val="28"/>
                <w:szCs w:val="28"/>
              </w:rPr>
            </w:pPr>
            <w:r w:rsidRPr="004543DD">
              <w:rPr>
                <w:b/>
                <w:sz w:val="28"/>
                <w:szCs w:val="28"/>
              </w:rPr>
              <w:t>0.9</w:t>
            </w:r>
          </w:p>
        </w:tc>
        <w:tc>
          <w:tcPr>
            <w:tcW w:w="1300" w:type="dxa"/>
            <w:noWrap/>
            <w:hideMark/>
          </w:tcPr>
          <w:p w14:paraId="3E6E121C" w14:textId="77777777" w:rsidR="004543DD" w:rsidRPr="004543DD" w:rsidRDefault="004543DD" w:rsidP="004543DD">
            <w:pPr>
              <w:rPr>
                <w:b/>
                <w:sz w:val="28"/>
                <w:szCs w:val="28"/>
              </w:rPr>
            </w:pPr>
          </w:p>
        </w:tc>
      </w:tr>
      <w:tr w:rsidR="004543DD" w:rsidRPr="004543DD" w14:paraId="1A1FD02D" w14:textId="77777777" w:rsidTr="004543DD">
        <w:trPr>
          <w:trHeight w:val="320"/>
        </w:trPr>
        <w:tc>
          <w:tcPr>
            <w:tcW w:w="1300" w:type="dxa"/>
            <w:noWrap/>
            <w:hideMark/>
          </w:tcPr>
          <w:p w14:paraId="2D440832" w14:textId="77777777" w:rsidR="004543DD" w:rsidRPr="004543DD" w:rsidRDefault="004543DD" w:rsidP="004543DD">
            <w:pPr>
              <w:rPr>
                <w:b/>
                <w:sz w:val="28"/>
                <w:szCs w:val="28"/>
              </w:rPr>
            </w:pPr>
            <w:r w:rsidRPr="004543DD">
              <w:rPr>
                <w:b/>
                <w:sz w:val="28"/>
                <w:szCs w:val="28"/>
              </w:rPr>
              <w:t>7</w:t>
            </w:r>
          </w:p>
        </w:tc>
        <w:tc>
          <w:tcPr>
            <w:tcW w:w="1300" w:type="dxa"/>
            <w:noWrap/>
            <w:hideMark/>
          </w:tcPr>
          <w:p w14:paraId="25FB2CD3" w14:textId="77777777" w:rsidR="004543DD" w:rsidRPr="004543DD" w:rsidRDefault="004543DD" w:rsidP="004543DD">
            <w:pPr>
              <w:rPr>
                <w:b/>
                <w:sz w:val="28"/>
                <w:szCs w:val="28"/>
              </w:rPr>
            </w:pPr>
            <w:r w:rsidRPr="004543DD">
              <w:rPr>
                <w:b/>
                <w:sz w:val="28"/>
                <w:szCs w:val="28"/>
              </w:rPr>
              <w:t>0.7</w:t>
            </w:r>
          </w:p>
        </w:tc>
        <w:tc>
          <w:tcPr>
            <w:tcW w:w="1300" w:type="dxa"/>
            <w:noWrap/>
            <w:hideMark/>
          </w:tcPr>
          <w:p w14:paraId="2FF35925" w14:textId="46648437" w:rsidR="004543DD" w:rsidRPr="004543DD" w:rsidRDefault="004543DD" w:rsidP="004543DD">
            <w:pPr>
              <w:rPr>
                <w:b/>
                <w:sz w:val="28"/>
                <w:szCs w:val="28"/>
              </w:rPr>
            </w:pPr>
            <w:r w:rsidRPr="004543DD">
              <w:rPr>
                <w:b/>
                <w:sz w:val="28"/>
                <w:szCs w:val="28"/>
              </w:rPr>
              <w:t>0.</w:t>
            </w:r>
            <w:r>
              <w:rPr>
                <w:b/>
                <w:sz w:val="28"/>
                <w:szCs w:val="28"/>
              </w:rPr>
              <w:t>2</w:t>
            </w:r>
          </w:p>
        </w:tc>
        <w:tc>
          <w:tcPr>
            <w:tcW w:w="1300" w:type="dxa"/>
            <w:noWrap/>
            <w:hideMark/>
          </w:tcPr>
          <w:p w14:paraId="25AFA6A7" w14:textId="07C21E6F" w:rsidR="004543DD" w:rsidRPr="004543DD" w:rsidRDefault="004543DD" w:rsidP="004543DD">
            <w:pPr>
              <w:rPr>
                <w:b/>
                <w:sz w:val="28"/>
                <w:szCs w:val="28"/>
              </w:rPr>
            </w:pPr>
            <w:r w:rsidRPr="004543DD">
              <w:rPr>
                <w:b/>
                <w:sz w:val="28"/>
                <w:szCs w:val="28"/>
              </w:rPr>
              <w:t>0.</w:t>
            </w:r>
            <w:r>
              <w:rPr>
                <w:b/>
                <w:sz w:val="28"/>
                <w:szCs w:val="28"/>
              </w:rPr>
              <w:t>7</w:t>
            </w:r>
          </w:p>
        </w:tc>
        <w:tc>
          <w:tcPr>
            <w:tcW w:w="1300" w:type="dxa"/>
            <w:noWrap/>
            <w:hideMark/>
          </w:tcPr>
          <w:p w14:paraId="5E990FB6" w14:textId="17F8850C" w:rsidR="004543DD" w:rsidRPr="004543DD" w:rsidRDefault="004543DD" w:rsidP="004543DD">
            <w:pPr>
              <w:rPr>
                <w:b/>
                <w:sz w:val="28"/>
                <w:szCs w:val="28"/>
              </w:rPr>
            </w:pPr>
            <w:r w:rsidRPr="004543DD">
              <w:rPr>
                <w:b/>
                <w:sz w:val="28"/>
                <w:szCs w:val="28"/>
              </w:rPr>
              <w:t>0.</w:t>
            </w:r>
            <w:r>
              <w:rPr>
                <w:b/>
                <w:sz w:val="28"/>
                <w:szCs w:val="28"/>
              </w:rPr>
              <w:t>3</w:t>
            </w:r>
          </w:p>
        </w:tc>
        <w:tc>
          <w:tcPr>
            <w:tcW w:w="1300" w:type="dxa"/>
            <w:noWrap/>
            <w:hideMark/>
          </w:tcPr>
          <w:p w14:paraId="30FC980D" w14:textId="1CDEBBF4" w:rsidR="004543DD" w:rsidRPr="004543DD" w:rsidRDefault="004543DD" w:rsidP="004543DD">
            <w:pPr>
              <w:rPr>
                <w:b/>
                <w:sz w:val="28"/>
                <w:szCs w:val="28"/>
              </w:rPr>
            </w:pPr>
            <w:r w:rsidRPr="004543DD">
              <w:rPr>
                <w:b/>
                <w:sz w:val="28"/>
                <w:szCs w:val="28"/>
              </w:rPr>
              <w:t>0.</w:t>
            </w:r>
            <w:r>
              <w:rPr>
                <w:b/>
                <w:sz w:val="28"/>
                <w:szCs w:val="28"/>
              </w:rPr>
              <w:t>5</w:t>
            </w:r>
          </w:p>
        </w:tc>
        <w:tc>
          <w:tcPr>
            <w:tcW w:w="1300" w:type="dxa"/>
            <w:noWrap/>
            <w:hideMark/>
          </w:tcPr>
          <w:p w14:paraId="656209E1" w14:textId="6C71D265" w:rsidR="004543DD" w:rsidRPr="004543DD" w:rsidRDefault="004543DD" w:rsidP="004543DD">
            <w:pPr>
              <w:rPr>
                <w:b/>
                <w:sz w:val="28"/>
                <w:szCs w:val="28"/>
              </w:rPr>
            </w:pPr>
            <w:r w:rsidRPr="004543DD">
              <w:rPr>
                <w:b/>
                <w:sz w:val="28"/>
                <w:szCs w:val="28"/>
              </w:rPr>
              <w:t>0.</w:t>
            </w:r>
            <w:r>
              <w:rPr>
                <w:b/>
                <w:sz w:val="28"/>
                <w:szCs w:val="28"/>
              </w:rPr>
              <w:t>7</w:t>
            </w:r>
          </w:p>
        </w:tc>
        <w:tc>
          <w:tcPr>
            <w:tcW w:w="1300" w:type="dxa"/>
            <w:noWrap/>
            <w:hideMark/>
          </w:tcPr>
          <w:p w14:paraId="7D21F0CC" w14:textId="77777777" w:rsidR="004543DD" w:rsidRPr="004543DD" w:rsidRDefault="004543DD" w:rsidP="004543DD">
            <w:pPr>
              <w:rPr>
                <w:b/>
                <w:sz w:val="28"/>
                <w:szCs w:val="28"/>
              </w:rPr>
            </w:pPr>
            <w:r w:rsidRPr="004543DD">
              <w:rPr>
                <w:b/>
                <w:sz w:val="28"/>
                <w:szCs w:val="28"/>
              </w:rPr>
              <w:t>1</w:t>
            </w:r>
          </w:p>
        </w:tc>
      </w:tr>
    </w:tbl>
    <w:p w14:paraId="6EE3D26C" w14:textId="125187C3" w:rsidR="002E7DAB" w:rsidRPr="002E7DAB" w:rsidRDefault="002E7DAB" w:rsidP="002E7DAB">
      <w:pPr>
        <w:rPr>
          <w:b/>
          <w:sz w:val="28"/>
          <w:szCs w:val="28"/>
        </w:rPr>
      </w:pPr>
    </w:p>
    <w:p w14:paraId="402B3D06" w14:textId="77777777" w:rsidR="00C3274F" w:rsidRDefault="00C3274F" w:rsidP="00DD2FD8">
      <w:pPr>
        <w:rPr>
          <w:sz w:val="40"/>
          <w:szCs w:val="40"/>
        </w:rPr>
      </w:pPr>
    </w:p>
    <w:p w14:paraId="55D0EA5E" w14:textId="4ABBF429" w:rsidR="00C3274F" w:rsidRDefault="00C3274F" w:rsidP="00DD2FD8">
      <w:pPr>
        <w:rPr>
          <w:sz w:val="40"/>
          <w:szCs w:val="40"/>
        </w:rPr>
      </w:pPr>
      <w:r>
        <w:rPr>
          <w:sz w:val="40"/>
          <w:szCs w:val="40"/>
        </w:rPr>
        <w:t>Experiment</w:t>
      </w:r>
    </w:p>
    <w:p w14:paraId="3AFD4B0A" w14:textId="56927E36" w:rsidR="002E7DAB" w:rsidRDefault="002E7DAB" w:rsidP="00DD2FD8">
      <w:r w:rsidRPr="00113525">
        <w:t>For</w:t>
      </w:r>
      <w:r w:rsidR="00950823">
        <w:t xml:space="preserve"> my experiment, </w:t>
      </w:r>
      <w:r w:rsidR="00113525">
        <w:t xml:space="preserve">I decided to look into </w:t>
      </w:r>
      <w:r w:rsidR="00950823">
        <w:t>various means of finding initial starting clusters</w:t>
      </w:r>
      <w:r w:rsidR="00CF6ED4">
        <w:t xml:space="preserve"> for K means</w:t>
      </w:r>
      <w:r w:rsidR="00420017">
        <w:t xml:space="preserve">. </w:t>
      </w:r>
      <w:r w:rsidR="00832CC8">
        <w:t>I ran my experiment on the normalized abalone data set file.   I ran on five various methods</w:t>
      </w:r>
      <w:r w:rsidR="00CF6ED4">
        <w:t xml:space="preserve"> to approach this including running on randomized initial centroids</w:t>
      </w:r>
      <w:r w:rsidR="00C978DF">
        <w:t xml:space="preserve"> </w:t>
      </w:r>
      <w:r w:rsidR="00CF6ED4">
        <w:t>(I took the average</w:t>
      </w:r>
      <w:r w:rsidR="00C978DF">
        <w:t xml:space="preserve"> of runnin</w:t>
      </w:r>
      <w:r w:rsidR="008B4C6A">
        <w:t xml:space="preserve">g it 5 times), </w:t>
      </w:r>
      <w:r w:rsidR="00C978DF">
        <w:t xml:space="preserve">first k </w:t>
      </w:r>
      <w:r w:rsidR="00495FC3">
        <w:t xml:space="preserve">instances </w:t>
      </w:r>
      <w:r w:rsidR="00C978DF">
        <w:t xml:space="preserve">in the data set,  last k </w:t>
      </w:r>
      <w:r w:rsidR="00495FC3">
        <w:t>instances</w:t>
      </w:r>
      <w:r w:rsidR="00C978DF">
        <w:t xml:space="preserve"> in the data set,  the </w:t>
      </w:r>
      <w:r w:rsidR="00495FC3">
        <w:t xml:space="preserve">k </w:t>
      </w:r>
      <w:r w:rsidR="00C978DF">
        <w:t xml:space="preserve"> MOST similar </w:t>
      </w:r>
      <w:r w:rsidR="00495FC3">
        <w:t>instances</w:t>
      </w:r>
      <w:r w:rsidR="008B4C6A">
        <w:t xml:space="preserve">, </w:t>
      </w:r>
      <w:r w:rsidR="00C978DF">
        <w:t xml:space="preserve"> the </w:t>
      </w:r>
      <w:r w:rsidR="00495FC3">
        <w:t xml:space="preserve">k </w:t>
      </w:r>
      <w:r w:rsidR="00C978DF">
        <w:t xml:space="preserve">LEAST similar </w:t>
      </w:r>
      <w:r w:rsidR="00495FC3">
        <w:t xml:space="preserve">instances.  I ran with k ranging from 2-7 and you can see the results in the chart below. </w:t>
      </w:r>
      <w:r w:rsidR="00D04AB2">
        <w:t xml:space="preserve"> My hypothesis was that Least Similar </w:t>
      </w:r>
      <w:r w:rsidR="00C37C13">
        <w:t>would be</w:t>
      </w:r>
      <w:r w:rsidR="00D04AB2">
        <w:t xml:space="preserve"> the </w:t>
      </w:r>
      <w:r w:rsidR="00C37C13">
        <w:t>most accurate because that way the data could be divided into clusters from the get go and would thus be more accurate and wouldn’t have to keep gradually shifting clusters around to be made more accurate. Interestingly for this data set it appears that all of them run about the same accuracy with little variation between all the various methods that I tried</w:t>
      </w:r>
      <w:r w:rsidR="000019DE">
        <w:t xml:space="preserve"> and they all finished about the same number of cycles as well</w:t>
      </w:r>
      <w:r w:rsidR="00C37C13">
        <w:t>.  Perhaps with k means in this data set</w:t>
      </w:r>
      <w:r w:rsidR="000019DE">
        <w:t>, the clusters are able to be found regardless of the initial centroids because of the shear amount of information</w:t>
      </w:r>
      <w:r w:rsidR="00133A41">
        <w:t xml:space="preserve"> that eventually dilutes the initial impact of the initial centroids through averaging the data together. </w:t>
      </w:r>
    </w:p>
    <w:p w14:paraId="0091C7F7" w14:textId="77777777" w:rsidR="00D04AB2" w:rsidRDefault="00D04AB2" w:rsidP="00DD2FD8"/>
    <w:p w14:paraId="57212CBD" w14:textId="17D6CA72" w:rsidR="00D04AB2" w:rsidRPr="00113525" w:rsidRDefault="00D04AB2" w:rsidP="00DD2FD8">
      <w:r>
        <w:rPr>
          <w:noProof/>
        </w:rPr>
        <w:drawing>
          <wp:inline distT="0" distB="0" distL="0" distR="0" wp14:anchorId="262136BB" wp14:editId="461AE89D">
            <wp:extent cx="5022850" cy="3225800"/>
            <wp:effectExtent l="0" t="0" r="63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0C801C" w14:textId="4EF69675" w:rsidR="00DD2FD8" w:rsidRDefault="00DD2FD8" w:rsidP="00DD2FD8">
      <w:pPr>
        <w:rPr>
          <w:sz w:val="40"/>
          <w:szCs w:val="40"/>
        </w:rPr>
      </w:pPr>
    </w:p>
    <w:p w14:paraId="4B9B65DF" w14:textId="77777777" w:rsidR="00DD2FD8" w:rsidRDefault="00DD2FD8" w:rsidP="00DD2FD8">
      <w:pPr>
        <w:rPr>
          <w:sz w:val="40"/>
          <w:szCs w:val="40"/>
        </w:rPr>
      </w:pPr>
    </w:p>
    <w:p w14:paraId="23A00297" w14:textId="77777777" w:rsidR="00DD2FD8" w:rsidRDefault="00DD2FD8" w:rsidP="00DD2FD8">
      <w:pPr>
        <w:rPr>
          <w:sz w:val="40"/>
          <w:szCs w:val="40"/>
        </w:rPr>
      </w:pPr>
    </w:p>
    <w:p w14:paraId="4C9027E2" w14:textId="3EE41496" w:rsidR="00DD2FD8" w:rsidRDefault="00DD2FD8" w:rsidP="00DD2FD8">
      <w:pPr>
        <w:rPr>
          <w:sz w:val="40"/>
          <w:szCs w:val="40"/>
        </w:rPr>
      </w:pPr>
    </w:p>
    <w:p w14:paraId="5156D873" w14:textId="77777777" w:rsidR="007E15D5" w:rsidRPr="0059799C" w:rsidRDefault="007E15D5">
      <w:pPr>
        <w:rPr>
          <w:sz w:val="40"/>
          <w:szCs w:val="40"/>
        </w:rPr>
      </w:pPr>
    </w:p>
    <w:sectPr w:rsidR="007E15D5" w:rsidRPr="0059799C" w:rsidSect="00810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9C"/>
    <w:rsid w:val="000019DE"/>
    <w:rsid w:val="000247F8"/>
    <w:rsid w:val="000B367C"/>
    <w:rsid w:val="00113525"/>
    <w:rsid w:val="00126424"/>
    <w:rsid w:val="00127879"/>
    <w:rsid w:val="00133A41"/>
    <w:rsid w:val="001E7369"/>
    <w:rsid w:val="002063A1"/>
    <w:rsid w:val="00225BCD"/>
    <w:rsid w:val="00230003"/>
    <w:rsid w:val="002753E0"/>
    <w:rsid w:val="002C40F6"/>
    <w:rsid w:val="002E7DAB"/>
    <w:rsid w:val="0032787D"/>
    <w:rsid w:val="003326B6"/>
    <w:rsid w:val="003B1C23"/>
    <w:rsid w:val="003D5106"/>
    <w:rsid w:val="00415144"/>
    <w:rsid w:val="00420017"/>
    <w:rsid w:val="004230A5"/>
    <w:rsid w:val="004543DD"/>
    <w:rsid w:val="00482AD2"/>
    <w:rsid w:val="00486C26"/>
    <w:rsid w:val="00495FC3"/>
    <w:rsid w:val="004B4335"/>
    <w:rsid w:val="004D5090"/>
    <w:rsid w:val="004E3235"/>
    <w:rsid w:val="004F338F"/>
    <w:rsid w:val="00501846"/>
    <w:rsid w:val="0054206B"/>
    <w:rsid w:val="0059799C"/>
    <w:rsid w:val="005F5152"/>
    <w:rsid w:val="006018A5"/>
    <w:rsid w:val="0068408A"/>
    <w:rsid w:val="006960B4"/>
    <w:rsid w:val="006B750C"/>
    <w:rsid w:val="00730A2E"/>
    <w:rsid w:val="00750A06"/>
    <w:rsid w:val="007629EF"/>
    <w:rsid w:val="007A5EA6"/>
    <w:rsid w:val="007B3869"/>
    <w:rsid w:val="007E15D5"/>
    <w:rsid w:val="00804268"/>
    <w:rsid w:val="00810B7A"/>
    <w:rsid w:val="00830EF2"/>
    <w:rsid w:val="00832CC8"/>
    <w:rsid w:val="008B4C6A"/>
    <w:rsid w:val="008E5F8B"/>
    <w:rsid w:val="00950823"/>
    <w:rsid w:val="009D3D99"/>
    <w:rsid w:val="00A0601D"/>
    <w:rsid w:val="00AA4755"/>
    <w:rsid w:val="00AB1AF7"/>
    <w:rsid w:val="00B23416"/>
    <w:rsid w:val="00C23B98"/>
    <w:rsid w:val="00C3274F"/>
    <w:rsid w:val="00C37C13"/>
    <w:rsid w:val="00C62DDF"/>
    <w:rsid w:val="00C85BA6"/>
    <w:rsid w:val="00C978DF"/>
    <w:rsid w:val="00CE3C71"/>
    <w:rsid w:val="00CF2440"/>
    <w:rsid w:val="00CF6ED4"/>
    <w:rsid w:val="00D04AB2"/>
    <w:rsid w:val="00D06206"/>
    <w:rsid w:val="00D134F3"/>
    <w:rsid w:val="00D6046C"/>
    <w:rsid w:val="00D67C76"/>
    <w:rsid w:val="00D84709"/>
    <w:rsid w:val="00DB2D0C"/>
    <w:rsid w:val="00DC0338"/>
    <w:rsid w:val="00DC574F"/>
    <w:rsid w:val="00DC744A"/>
    <w:rsid w:val="00DD2FD8"/>
    <w:rsid w:val="00E106D7"/>
    <w:rsid w:val="00E22917"/>
    <w:rsid w:val="00E46D22"/>
    <w:rsid w:val="00E600BD"/>
    <w:rsid w:val="00E74EA1"/>
    <w:rsid w:val="00EC74C4"/>
    <w:rsid w:val="00F23A23"/>
    <w:rsid w:val="00F23C20"/>
    <w:rsid w:val="00FB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265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C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5535">
      <w:bodyDiv w:val="1"/>
      <w:marLeft w:val="0"/>
      <w:marRight w:val="0"/>
      <w:marTop w:val="0"/>
      <w:marBottom w:val="0"/>
      <w:divBdr>
        <w:top w:val="none" w:sz="0" w:space="0" w:color="auto"/>
        <w:left w:val="none" w:sz="0" w:space="0" w:color="auto"/>
        <w:bottom w:val="none" w:sz="0" w:space="0" w:color="auto"/>
        <w:right w:val="none" w:sz="0" w:space="0" w:color="auto"/>
      </w:divBdr>
    </w:div>
    <w:div w:id="31737013">
      <w:bodyDiv w:val="1"/>
      <w:marLeft w:val="0"/>
      <w:marRight w:val="0"/>
      <w:marTop w:val="0"/>
      <w:marBottom w:val="0"/>
      <w:divBdr>
        <w:top w:val="none" w:sz="0" w:space="0" w:color="auto"/>
        <w:left w:val="none" w:sz="0" w:space="0" w:color="auto"/>
        <w:bottom w:val="none" w:sz="0" w:space="0" w:color="auto"/>
        <w:right w:val="none" w:sz="0" w:space="0" w:color="auto"/>
      </w:divBdr>
    </w:div>
    <w:div w:id="191843511">
      <w:bodyDiv w:val="1"/>
      <w:marLeft w:val="0"/>
      <w:marRight w:val="0"/>
      <w:marTop w:val="0"/>
      <w:marBottom w:val="0"/>
      <w:divBdr>
        <w:top w:val="none" w:sz="0" w:space="0" w:color="auto"/>
        <w:left w:val="none" w:sz="0" w:space="0" w:color="auto"/>
        <w:bottom w:val="none" w:sz="0" w:space="0" w:color="auto"/>
        <w:right w:val="none" w:sz="0" w:space="0" w:color="auto"/>
      </w:divBdr>
    </w:div>
    <w:div w:id="235209232">
      <w:bodyDiv w:val="1"/>
      <w:marLeft w:val="0"/>
      <w:marRight w:val="0"/>
      <w:marTop w:val="0"/>
      <w:marBottom w:val="0"/>
      <w:divBdr>
        <w:top w:val="none" w:sz="0" w:space="0" w:color="auto"/>
        <w:left w:val="none" w:sz="0" w:space="0" w:color="auto"/>
        <w:bottom w:val="none" w:sz="0" w:space="0" w:color="auto"/>
        <w:right w:val="none" w:sz="0" w:space="0" w:color="auto"/>
      </w:divBdr>
    </w:div>
    <w:div w:id="304622202">
      <w:bodyDiv w:val="1"/>
      <w:marLeft w:val="0"/>
      <w:marRight w:val="0"/>
      <w:marTop w:val="0"/>
      <w:marBottom w:val="0"/>
      <w:divBdr>
        <w:top w:val="none" w:sz="0" w:space="0" w:color="auto"/>
        <w:left w:val="none" w:sz="0" w:space="0" w:color="auto"/>
        <w:bottom w:val="none" w:sz="0" w:space="0" w:color="auto"/>
        <w:right w:val="none" w:sz="0" w:space="0" w:color="auto"/>
      </w:divBdr>
    </w:div>
    <w:div w:id="315887526">
      <w:bodyDiv w:val="1"/>
      <w:marLeft w:val="0"/>
      <w:marRight w:val="0"/>
      <w:marTop w:val="0"/>
      <w:marBottom w:val="0"/>
      <w:divBdr>
        <w:top w:val="none" w:sz="0" w:space="0" w:color="auto"/>
        <w:left w:val="none" w:sz="0" w:space="0" w:color="auto"/>
        <w:bottom w:val="none" w:sz="0" w:space="0" w:color="auto"/>
        <w:right w:val="none" w:sz="0" w:space="0" w:color="auto"/>
      </w:divBdr>
    </w:div>
    <w:div w:id="333151103">
      <w:bodyDiv w:val="1"/>
      <w:marLeft w:val="0"/>
      <w:marRight w:val="0"/>
      <w:marTop w:val="0"/>
      <w:marBottom w:val="0"/>
      <w:divBdr>
        <w:top w:val="none" w:sz="0" w:space="0" w:color="auto"/>
        <w:left w:val="none" w:sz="0" w:space="0" w:color="auto"/>
        <w:bottom w:val="none" w:sz="0" w:space="0" w:color="auto"/>
        <w:right w:val="none" w:sz="0" w:space="0" w:color="auto"/>
      </w:divBdr>
    </w:div>
    <w:div w:id="462891340">
      <w:bodyDiv w:val="1"/>
      <w:marLeft w:val="0"/>
      <w:marRight w:val="0"/>
      <w:marTop w:val="0"/>
      <w:marBottom w:val="0"/>
      <w:divBdr>
        <w:top w:val="none" w:sz="0" w:space="0" w:color="auto"/>
        <w:left w:val="none" w:sz="0" w:space="0" w:color="auto"/>
        <w:bottom w:val="none" w:sz="0" w:space="0" w:color="auto"/>
        <w:right w:val="none" w:sz="0" w:space="0" w:color="auto"/>
      </w:divBdr>
    </w:div>
    <w:div w:id="654533865">
      <w:bodyDiv w:val="1"/>
      <w:marLeft w:val="0"/>
      <w:marRight w:val="0"/>
      <w:marTop w:val="0"/>
      <w:marBottom w:val="0"/>
      <w:divBdr>
        <w:top w:val="none" w:sz="0" w:space="0" w:color="auto"/>
        <w:left w:val="none" w:sz="0" w:space="0" w:color="auto"/>
        <w:bottom w:val="none" w:sz="0" w:space="0" w:color="auto"/>
        <w:right w:val="none" w:sz="0" w:space="0" w:color="auto"/>
      </w:divBdr>
    </w:div>
    <w:div w:id="963192189">
      <w:bodyDiv w:val="1"/>
      <w:marLeft w:val="0"/>
      <w:marRight w:val="0"/>
      <w:marTop w:val="0"/>
      <w:marBottom w:val="0"/>
      <w:divBdr>
        <w:top w:val="none" w:sz="0" w:space="0" w:color="auto"/>
        <w:left w:val="none" w:sz="0" w:space="0" w:color="auto"/>
        <w:bottom w:val="none" w:sz="0" w:space="0" w:color="auto"/>
        <w:right w:val="none" w:sz="0" w:space="0" w:color="auto"/>
      </w:divBdr>
    </w:div>
    <w:div w:id="1051223904">
      <w:bodyDiv w:val="1"/>
      <w:marLeft w:val="0"/>
      <w:marRight w:val="0"/>
      <w:marTop w:val="0"/>
      <w:marBottom w:val="0"/>
      <w:divBdr>
        <w:top w:val="none" w:sz="0" w:space="0" w:color="auto"/>
        <w:left w:val="none" w:sz="0" w:space="0" w:color="auto"/>
        <w:bottom w:val="none" w:sz="0" w:space="0" w:color="auto"/>
        <w:right w:val="none" w:sz="0" w:space="0" w:color="auto"/>
      </w:divBdr>
    </w:div>
    <w:div w:id="1064836038">
      <w:bodyDiv w:val="1"/>
      <w:marLeft w:val="0"/>
      <w:marRight w:val="0"/>
      <w:marTop w:val="0"/>
      <w:marBottom w:val="0"/>
      <w:divBdr>
        <w:top w:val="none" w:sz="0" w:space="0" w:color="auto"/>
        <w:left w:val="none" w:sz="0" w:space="0" w:color="auto"/>
        <w:bottom w:val="none" w:sz="0" w:space="0" w:color="auto"/>
        <w:right w:val="none" w:sz="0" w:space="0" w:color="auto"/>
      </w:divBdr>
    </w:div>
    <w:div w:id="1097870513">
      <w:bodyDiv w:val="1"/>
      <w:marLeft w:val="0"/>
      <w:marRight w:val="0"/>
      <w:marTop w:val="0"/>
      <w:marBottom w:val="0"/>
      <w:divBdr>
        <w:top w:val="none" w:sz="0" w:space="0" w:color="auto"/>
        <w:left w:val="none" w:sz="0" w:space="0" w:color="auto"/>
        <w:bottom w:val="none" w:sz="0" w:space="0" w:color="auto"/>
        <w:right w:val="none" w:sz="0" w:space="0" w:color="auto"/>
      </w:divBdr>
    </w:div>
    <w:div w:id="1140001266">
      <w:bodyDiv w:val="1"/>
      <w:marLeft w:val="0"/>
      <w:marRight w:val="0"/>
      <w:marTop w:val="0"/>
      <w:marBottom w:val="0"/>
      <w:divBdr>
        <w:top w:val="none" w:sz="0" w:space="0" w:color="auto"/>
        <w:left w:val="none" w:sz="0" w:space="0" w:color="auto"/>
        <w:bottom w:val="none" w:sz="0" w:space="0" w:color="auto"/>
        <w:right w:val="none" w:sz="0" w:space="0" w:color="auto"/>
      </w:divBdr>
    </w:div>
    <w:div w:id="1190489698">
      <w:bodyDiv w:val="1"/>
      <w:marLeft w:val="0"/>
      <w:marRight w:val="0"/>
      <w:marTop w:val="0"/>
      <w:marBottom w:val="0"/>
      <w:divBdr>
        <w:top w:val="none" w:sz="0" w:space="0" w:color="auto"/>
        <w:left w:val="none" w:sz="0" w:space="0" w:color="auto"/>
        <w:bottom w:val="none" w:sz="0" w:space="0" w:color="auto"/>
        <w:right w:val="none" w:sz="0" w:space="0" w:color="auto"/>
      </w:divBdr>
    </w:div>
    <w:div w:id="1229076482">
      <w:bodyDiv w:val="1"/>
      <w:marLeft w:val="0"/>
      <w:marRight w:val="0"/>
      <w:marTop w:val="0"/>
      <w:marBottom w:val="0"/>
      <w:divBdr>
        <w:top w:val="none" w:sz="0" w:space="0" w:color="auto"/>
        <w:left w:val="none" w:sz="0" w:space="0" w:color="auto"/>
        <w:bottom w:val="none" w:sz="0" w:space="0" w:color="auto"/>
        <w:right w:val="none" w:sz="0" w:space="0" w:color="auto"/>
      </w:divBdr>
    </w:div>
    <w:div w:id="1282569268">
      <w:bodyDiv w:val="1"/>
      <w:marLeft w:val="0"/>
      <w:marRight w:val="0"/>
      <w:marTop w:val="0"/>
      <w:marBottom w:val="0"/>
      <w:divBdr>
        <w:top w:val="none" w:sz="0" w:space="0" w:color="auto"/>
        <w:left w:val="none" w:sz="0" w:space="0" w:color="auto"/>
        <w:bottom w:val="none" w:sz="0" w:space="0" w:color="auto"/>
        <w:right w:val="none" w:sz="0" w:space="0" w:color="auto"/>
      </w:divBdr>
    </w:div>
    <w:div w:id="1487357352">
      <w:bodyDiv w:val="1"/>
      <w:marLeft w:val="0"/>
      <w:marRight w:val="0"/>
      <w:marTop w:val="0"/>
      <w:marBottom w:val="0"/>
      <w:divBdr>
        <w:top w:val="none" w:sz="0" w:space="0" w:color="auto"/>
        <w:left w:val="none" w:sz="0" w:space="0" w:color="auto"/>
        <w:bottom w:val="none" w:sz="0" w:space="0" w:color="auto"/>
        <w:right w:val="none" w:sz="0" w:space="0" w:color="auto"/>
      </w:divBdr>
    </w:div>
    <w:div w:id="1507280757">
      <w:bodyDiv w:val="1"/>
      <w:marLeft w:val="0"/>
      <w:marRight w:val="0"/>
      <w:marTop w:val="0"/>
      <w:marBottom w:val="0"/>
      <w:divBdr>
        <w:top w:val="none" w:sz="0" w:space="0" w:color="auto"/>
        <w:left w:val="none" w:sz="0" w:space="0" w:color="auto"/>
        <w:bottom w:val="none" w:sz="0" w:space="0" w:color="auto"/>
        <w:right w:val="none" w:sz="0" w:space="0" w:color="auto"/>
      </w:divBdr>
    </w:div>
    <w:div w:id="1600989196">
      <w:bodyDiv w:val="1"/>
      <w:marLeft w:val="0"/>
      <w:marRight w:val="0"/>
      <w:marTop w:val="0"/>
      <w:marBottom w:val="0"/>
      <w:divBdr>
        <w:top w:val="none" w:sz="0" w:space="0" w:color="auto"/>
        <w:left w:val="none" w:sz="0" w:space="0" w:color="auto"/>
        <w:bottom w:val="none" w:sz="0" w:space="0" w:color="auto"/>
        <w:right w:val="none" w:sz="0" w:space="0" w:color="auto"/>
      </w:divBdr>
    </w:div>
    <w:div w:id="1695105993">
      <w:bodyDiv w:val="1"/>
      <w:marLeft w:val="0"/>
      <w:marRight w:val="0"/>
      <w:marTop w:val="0"/>
      <w:marBottom w:val="0"/>
      <w:divBdr>
        <w:top w:val="none" w:sz="0" w:space="0" w:color="auto"/>
        <w:left w:val="none" w:sz="0" w:space="0" w:color="auto"/>
        <w:bottom w:val="none" w:sz="0" w:space="0" w:color="auto"/>
        <w:right w:val="none" w:sz="0" w:space="0" w:color="auto"/>
      </w:divBdr>
    </w:div>
    <w:div w:id="2020621797">
      <w:bodyDiv w:val="1"/>
      <w:marLeft w:val="0"/>
      <w:marRight w:val="0"/>
      <w:marTop w:val="0"/>
      <w:marBottom w:val="0"/>
      <w:divBdr>
        <w:top w:val="none" w:sz="0" w:space="0" w:color="auto"/>
        <w:left w:val="none" w:sz="0" w:space="0" w:color="auto"/>
        <w:bottom w:val="none" w:sz="0" w:space="0" w:color="auto"/>
        <w:right w:val="none" w:sz="0" w:space="0" w:color="auto"/>
      </w:divBdr>
    </w:div>
    <w:div w:id="2070879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williamjones/Desktop/cluster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williamjones/Desktop/cluster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williamjones/Desktop/cluster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williamjones/Desktop/cluster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williamjones/Desktop/cluster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williamjones/Desktop/clust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 means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Sheet1!$B$34</c:f>
              <c:strCache>
                <c:ptCount val="1"/>
                <c:pt idx="0">
                  <c:v>SSE without</c:v>
                </c:pt>
              </c:strCache>
            </c:strRef>
          </c:tx>
          <c:spPr>
            <a:ln w="28575" cap="rnd">
              <a:solidFill>
                <a:schemeClr val="accent1"/>
              </a:solidFill>
              <a:round/>
            </a:ln>
            <a:effectLst/>
          </c:spPr>
          <c:marker>
            <c:symbol val="none"/>
          </c:marker>
          <c:cat>
            <c:numRef>
              <c:f>Sheet1!$A$35:$A$39</c:f>
              <c:numCache>
                <c:formatCode>General</c:formatCode>
                <c:ptCount val="5"/>
                <c:pt idx="0">
                  <c:v>1.0</c:v>
                </c:pt>
                <c:pt idx="1">
                  <c:v>2.0</c:v>
                </c:pt>
                <c:pt idx="2">
                  <c:v>3.0</c:v>
                </c:pt>
                <c:pt idx="3">
                  <c:v>4.0</c:v>
                </c:pt>
                <c:pt idx="4">
                  <c:v>5.0</c:v>
                </c:pt>
              </c:numCache>
            </c:numRef>
          </c:cat>
          <c:val>
            <c:numRef>
              <c:f>Sheet1!$B$35:$B$39</c:f>
              <c:numCache>
                <c:formatCode>General</c:formatCode>
                <c:ptCount val="5"/>
                <c:pt idx="0">
                  <c:v>50.071</c:v>
                </c:pt>
                <c:pt idx="1">
                  <c:v>69.427</c:v>
                </c:pt>
                <c:pt idx="2">
                  <c:v>49.87</c:v>
                </c:pt>
                <c:pt idx="3">
                  <c:v>50.03</c:v>
                </c:pt>
                <c:pt idx="4">
                  <c:v>50.2</c:v>
                </c:pt>
              </c:numCache>
            </c:numRef>
          </c:val>
          <c:smooth val="0"/>
        </c:ser>
        <c:ser>
          <c:idx val="1"/>
          <c:order val="1"/>
          <c:tx>
            <c:strRef>
              <c:f>Sheet1!$C$34</c:f>
              <c:strCache>
                <c:ptCount val="1"/>
                <c:pt idx="0">
                  <c:v>SSE with</c:v>
                </c:pt>
              </c:strCache>
            </c:strRef>
          </c:tx>
          <c:spPr>
            <a:ln w="28575" cap="rnd">
              <a:solidFill>
                <a:schemeClr val="accent2"/>
              </a:solidFill>
              <a:round/>
            </a:ln>
            <a:effectLst/>
          </c:spPr>
          <c:marker>
            <c:symbol val="none"/>
          </c:marker>
          <c:cat>
            <c:numRef>
              <c:f>Sheet1!$A$35:$A$39</c:f>
              <c:numCache>
                <c:formatCode>General</c:formatCode>
                <c:ptCount val="5"/>
                <c:pt idx="0">
                  <c:v>1.0</c:v>
                </c:pt>
                <c:pt idx="1">
                  <c:v>2.0</c:v>
                </c:pt>
                <c:pt idx="2">
                  <c:v>3.0</c:v>
                </c:pt>
                <c:pt idx="3">
                  <c:v>4.0</c:v>
                </c:pt>
                <c:pt idx="4">
                  <c:v>5.0</c:v>
                </c:pt>
              </c:numCache>
            </c:numRef>
          </c:cat>
          <c:val>
            <c:numRef>
              <c:f>Sheet1!$C$35:$C$39</c:f>
              <c:numCache>
                <c:formatCode>General</c:formatCode>
                <c:ptCount val="5"/>
                <c:pt idx="0">
                  <c:v>59.35</c:v>
                </c:pt>
                <c:pt idx="1">
                  <c:v>60.246</c:v>
                </c:pt>
                <c:pt idx="2">
                  <c:v>51.0</c:v>
                </c:pt>
                <c:pt idx="3">
                  <c:v>51.0</c:v>
                </c:pt>
                <c:pt idx="4">
                  <c:v>63.0</c:v>
                </c:pt>
              </c:numCache>
            </c:numRef>
          </c:val>
          <c:smooth val="0"/>
        </c:ser>
        <c:dLbls>
          <c:showLegendKey val="0"/>
          <c:showVal val="0"/>
          <c:showCatName val="0"/>
          <c:showSerName val="0"/>
          <c:showPercent val="0"/>
          <c:showBubbleSize val="0"/>
        </c:dLbls>
        <c:smooth val="0"/>
        <c:axId val="-644523216"/>
        <c:axId val="-644520672"/>
      </c:lineChart>
      <c:catAx>
        <c:axId val="-644523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Attempt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520672"/>
        <c:crosses val="autoZero"/>
        <c:auto val="1"/>
        <c:lblAlgn val="ctr"/>
        <c:lblOffset val="100"/>
        <c:noMultiLvlLbl val="0"/>
      </c:catAx>
      <c:valAx>
        <c:axId val="-644520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 Squared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52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Complete Link Iris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SSE without</c:v>
                </c:pt>
              </c:strCache>
            </c:strRef>
          </c:tx>
          <c:spPr>
            <a:ln w="28575" cap="rnd">
              <a:solidFill>
                <a:schemeClr val="accent1"/>
              </a:solidFill>
              <a:round/>
            </a:ln>
            <a:effectLst/>
          </c:spPr>
          <c:marker>
            <c:symbol val="none"/>
          </c:marker>
          <c:cat>
            <c:numRef>
              <c:f>Sheet1!$A$2:$A$7</c:f>
              <c:numCache>
                <c:formatCode>General</c:formatCode>
                <c:ptCount val="6"/>
                <c:pt idx="0">
                  <c:v>2.0</c:v>
                </c:pt>
                <c:pt idx="1">
                  <c:v>3.0</c:v>
                </c:pt>
                <c:pt idx="2">
                  <c:v>4.0</c:v>
                </c:pt>
                <c:pt idx="3">
                  <c:v>5.0</c:v>
                </c:pt>
                <c:pt idx="4">
                  <c:v>6.0</c:v>
                </c:pt>
                <c:pt idx="5">
                  <c:v>7.0</c:v>
                </c:pt>
              </c:numCache>
            </c:numRef>
          </c:cat>
          <c:val>
            <c:numRef>
              <c:f>Sheet1!$B$2:$B$7</c:f>
              <c:numCache>
                <c:formatCode>General</c:formatCode>
                <c:ptCount val="6"/>
                <c:pt idx="0">
                  <c:v>234.851</c:v>
                </c:pt>
                <c:pt idx="1">
                  <c:v>89.614</c:v>
                </c:pt>
                <c:pt idx="2">
                  <c:v>61.062</c:v>
                </c:pt>
                <c:pt idx="3">
                  <c:v>54.69</c:v>
                </c:pt>
                <c:pt idx="4">
                  <c:v>40.4</c:v>
                </c:pt>
                <c:pt idx="5">
                  <c:v>36.165</c:v>
                </c:pt>
              </c:numCache>
            </c:numRef>
          </c:val>
          <c:smooth val="0"/>
        </c:ser>
        <c:ser>
          <c:idx val="1"/>
          <c:order val="1"/>
          <c:tx>
            <c:strRef>
              <c:f>Sheet1!$C$1</c:f>
              <c:strCache>
                <c:ptCount val="1"/>
                <c:pt idx="0">
                  <c:v>SSE with</c:v>
                </c:pt>
              </c:strCache>
            </c:strRef>
          </c:tx>
          <c:spPr>
            <a:ln w="28575" cap="rnd">
              <a:solidFill>
                <a:schemeClr val="accent2"/>
              </a:solidFill>
              <a:round/>
            </a:ln>
            <a:effectLst/>
          </c:spPr>
          <c:marker>
            <c:symbol val="none"/>
          </c:marker>
          <c:cat>
            <c:numRef>
              <c:f>Sheet1!$A$2:$A$7</c:f>
              <c:numCache>
                <c:formatCode>General</c:formatCode>
                <c:ptCount val="6"/>
                <c:pt idx="0">
                  <c:v>2.0</c:v>
                </c:pt>
                <c:pt idx="1">
                  <c:v>3.0</c:v>
                </c:pt>
                <c:pt idx="2">
                  <c:v>4.0</c:v>
                </c:pt>
                <c:pt idx="3">
                  <c:v>5.0</c:v>
                </c:pt>
                <c:pt idx="4">
                  <c:v>6.0</c:v>
                </c:pt>
                <c:pt idx="5">
                  <c:v>7.0</c:v>
                </c:pt>
              </c:numCache>
            </c:numRef>
          </c:cat>
          <c:val>
            <c:numRef>
              <c:f>Sheet1!$C$2:$C$7</c:f>
              <c:numCache>
                <c:formatCode>General</c:formatCode>
                <c:ptCount val="6"/>
                <c:pt idx="0">
                  <c:v>205.036</c:v>
                </c:pt>
                <c:pt idx="1">
                  <c:v>96.12199999999998</c:v>
                </c:pt>
                <c:pt idx="2">
                  <c:v>78.366</c:v>
                </c:pt>
                <c:pt idx="3">
                  <c:v>56.199</c:v>
                </c:pt>
                <c:pt idx="4">
                  <c:v>49.827</c:v>
                </c:pt>
                <c:pt idx="5">
                  <c:v>38.802</c:v>
                </c:pt>
              </c:numCache>
            </c:numRef>
          </c:val>
          <c:smooth val="0"/>
        </c:ser>
        <c:dLbls>
          <c:showLegendKey val="0"/>
          <c:showVal val="0"/>
          <c:showCatName val="0"/>
          <c:showSerName val="0"/>
          <c:showPercent val="0"/>
          <c:showBubbleSize val="0"/>
        </c:dLbls>
        <c:smooth val="0"/>
        <c:axId val="-664701584"/>
        <c:axId val="-663803984"/>
      </c:lineChart>
      <c:catAx>
        <c:axId val="-664701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r>
                  <a:rPr lang="en-US" baseline="0"/>
                  <a:t> values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803984"/>
        <c:crosses val="autoZero"/>
        <c:auto val="1"/>
        <c:lblAlgn val="ctr"/>
        <c:lblOffset val="100"/>
        <c:noMultiLvlLbl val="0"/>
      </c:catAx>
      <c:valAx>
        <c:axId val="-66380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 Squared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701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Link Iris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Sheet1!$B$19</c:f>
              <c:strCache>
                <c:ptCount val="1"/>
                <c:pt idx="0">
                  <c:v>SSE without</c:v>
                </c:pt>
              </c:strCache>
            </c:strRef>
          </c:tx>
          <c:spPr>
            <a:ln w="28575" cap="rnd">
              <a:solidFill>
                <a:schemeClr val="accent1"/>
              </a:solidFill>
              <a:round/>
            </a:ln>
            <a:effectLst/>
          </c:spPr>
          <c:marker>
            <c:symbol val="none"/>
          </c:marker>
          <c:cat>
            <c:numRef>
              <c:f>Sheet1!$A$20:$A$25</c:f>
              <c:numCache>
                <c:formatCode>General</c:formatCode>
                <c:ptCount val="6"/>
                <c:pt idx="0">
                  <c:v>2.0</c:v>
                </c:pt>
                <c:pt idx="1">
                  <c:v>3.0</c:v>
                </c:pt>
                <c:pt idx="2">
                  <c:v>4.0</c:v>
                </c:pt>
                <c:pt idx="3">
                  <c:v>5.0</c:v>
                </c:pt>
                <c:pt idx="4">
                  <c:v>6.0</c:v>
                </c:pt>
                <c:pt idx="5">
                  <c:v>7.0</c:v>
                </c:pt>
              </c:numCache>
            </c:numRef>
          </c:cat>
          <c:val>
            <c:numRef>
              <c:f>Sheet1!$B$20:$B$25</c:f>
              <c:numCache>
                <c:formatCode>General</c:formatCode>
                <c:ptCount val="6"/>
                <c:pt idx="0">
                  <c:v>155.036</c:v>
                </c:pt>
                <c:pt idx="1">
                  <c:v>142.569</c:v>
                </c:pt>
                <c:pt idx="2">
                  <c:v>140.513</c:v>
                </c:pt>
                <c:pt idx="3">
                  <c:v>120.342</c:v>
                </c:pt>
                <c:pt idx="4">
                  <c:v>116.993</c:v>
                </c:pt>
                <c:pt idx="5">
                  <c:v>115.426</c:v>
                </c:pt>
              </c:numCache>
            </c:numRef>
          </c:val>
          <c:smooth val="0"/>
        </c:ser>
        <c:ser>
          <c:idx val="1"/>
          <c:order val="1"/>
          <c:tx>
            <c:strRef>
              <c:f>Sheet1!$C$19</c:f>
              <c:strCache>
                <c:ptCount val="1"/>
                <c:pt idx="0">
                  <c:v>SSE with</c:v>
                </c:pt>
              </c:strCache>
            </c:strRef>
          </c:tx>
          <c:spPr>
            <a:ln w="28575" cap="rnd">
              <a:solidFill>
                <a:schemeClr val="accent2"/>
              </a:solidFill>
              <a:round/>
            </a:ln>
            <a:effectLst/>
          </c:spPr>
          <c:marker>
            <c:symbol val="none"/>
          </c:marker>
          <c:cat>
            <c:numRef>
              <c:f>Sheet1!$A$20:$A$25</c:f>
              <c:numCache>
                <c:formatCode>General</c:formatCode>
                <c:ptCount val="6"/>
                <c:pt idx="0">
                  <c:v>2.0</c:v>
                </c:pt>
                <c:pt idx="1">
                  <c:v>3.0</c:v>
                </c:pt>
                <c:pt idx="2">
                  <c:v>4.0</c:v>
                </c:pt>
                <c:pt idx="3">
                  <c:v>5.0</c:v>
                </c:pt>
                <c:pt idx="4">
                  <c:v>6.0</c:v>
                </c:pt>
                <c:pt idx="5">
                  <c:v>7.0</c:v>
                </c:pt>
              </c:numCache>
            </c:numRef>
          </c:cat>
          <c:val>
            <c:numRef>
              <c:f>Sheet1!$C$20:$C$25</c:f>
              <c:numCache>
                <c:formatCode>General</c:formatCode>
                <c:ptCount val="6"/>
                <c:pt idx="0">
                  <c:v>205.036</c:v>
                </c:pt>
                <c:pt idx="1">
                  <c:v>89.38679999999998</c:v>
                </c:pt>
                <c:pt idx="2">
                  <c:v>85.012</c:v>
                </c:pt>
                <c:pt idx="3">
                  <c:v>78.734</c:v>
                </c:pt>
                <c:pt idx="4">
                  <c:v>69.35199999999998</c:v>
                </c:pt>
                <c:pt idx="5">
                  <c:v>67.961</c:v>
                </c:pt>
              </c:numCache>
            </c:numRef>
          </c:val>
          <c:smooth val="0"/>
        </c:ser>
        <c:dLbls>
          <c:showLegendKey val="0"/>
          <c:showVal val="0"/>
          <c:showCatName val="0"/>
          <c:showSerName val="0"/>
          <c:showPercent val="0"/>
          <c:showBubbleSize val="0"/>
        </c:dLbls>
        <c:smooth val="0"/>
        <c:axId val="-706377456"/>
        <c:axId val="-706374064"/>
      </c:lineChart>
      <c:catAx>
        <c:axId val="-706377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374064"/>
        <c:crosses val="autoZero"/>
        <c:auto val="1"/>
        <c:lblAlgn val="ctr"/>
        <c:lblOffset val="100"/>
        <c:noMultiLvlLbl val="0"/>
      </c:catAx>
      <c:valAx>
        <c:axId val="-70637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 Squared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377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0"/>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Normalized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Sheet1!$C$87</c:f>
              <c:strCache>
                <c:ptCount val="1"/>
                <c:pt idx="0">
                  <c:v>Single Link</c:v>
                </c:pt>
              </c:strCache>
            </c:strRef>
          </c:tx>
          <c:spPr>
            <a:ln w="28575" cap="rnd">
              <a:solidFill>
                <a:schemeClr val="accent1"/>
              </a:solidFill>
              <a:round/>
            </a:ln>
            <a:effectLst/>
          </c:spPr>
          <c:marker>
            <c:symbol val="none"/>
          </c:marker>
          <c:cat>
            <c:numRef>
              <c:f>Sheet1!$A$88:$A$93</c:f>
              <c:numCache>
                <c:formatCode>General</c:formatCode>
                <c:ptCount val="6"/>
                <c:pt idx="0">
                  <c:v>2.0</c:v>
                </c:pt>
                <c:pt idx="1">
                  <c:v>3.0</c:v>
                </c:pt>
                <c:pt idx="2">
                  <c:v>4.0</c:v>
                </c:pt>
                <c:pt idx="3">
                  <c:v>5.0</c:v>
                </c:pt>
                <c:pt idx="4">
                  <c:v>6.0</c:v>
                </c:pt>
                <c:pt idx="5">
                  <c:v>7.0</c:v>
                </c:pt>
              </c:numCache>
            </c:numRef>
          </c:cat>
          <c:val>
            <c:numRef>
              <c:f>Sheet1!$C$88:$C$93</c:f>
              <c:numCache>
                <c:formatCode>General</c:formatCode>
                <c:ptCount val="6"/>
                <c:pt idx="0">
                  <c:v>227.0</c:v>
                </c:pt>
                <c:pt idx="1">
                  <c:v>243.0</c:v>
                </c:pt>
                <c:pt idx="2">
                  <c:v>189.0</c:v>
                </c:pt>
                <c:pt idx="3">
                  <c:v>102.69</c:v>
                </c:pt>
                <c:pt idx="4">
                  <c:v>58.013</c:v>
                </c:pt>
                <c:pt idx="5">
                  <c:v>55.55</c:v>
                </c:pt>
              </c:numCache>
            </c:numRef>
          </c:val>
          <c:smooth val="0"/>
        </c:ser>
        <c:ser>
          <c:idx val="1"/>
          <c:order val="1"/>
          <c:tx>
            <c:strRef>
              <c:f>Sheet1!$B$73</c:f>
              <c:strCache>
                <c:ptCount val="1"/>
                <c:pt idx="0">
                  <c:v>Complete Link</c:v>
                </c:pt>
              </c:strCache>
            </c:strRef>
          </c:tx>
          <c:spPr>
            <a:ln w="28575" cap="rnd">
              <a:solidFill>
                <a:schemeClr val="accent2"/>
              </a:solidFill>
              <a:round/>
            </a:ln>
            <a:effectLst/>
          </c:spPr>
          <c:marker>
            <c:symbol val="none"/>
          </c:marker>
          <c:cat>
            <c:numRef>
              <c:f>Sheet1!$A$88:$A$93</c:f>
              <c:numCache>
                <c:formatCode>General</c:formatCode>
                <c:ptCount val="6"/>
                <c:pt idx="0">
                  <c:v>2.0</c:v>
                </c:pt>
                <c:pt idx="1">
                  <c:v>3.0</c:v>
                </c:pt>
                <c:pt idx="2">
                  <c:v>4.0</c:v>
                </c:pt>
                <c:pt idx="3">
                  <c:v>5.0</c:v>
                </c:pt>
                <c:pt idx="4">
                  <c:v>6.0</c:v>
                </c:pt>
                <c:pt idx="5">
                  <c:v>7.0</c:v>
                </c:pt>
              </c:numCache>
            </c:numRef>
          </c:cat>
          <c:val>
            <c:numRef>
              <c:f>Sheet1!$B$88:$B$93</c:f>
              <c:numCache>
                <c:formatCode>General</c:formatCode>
                <c:ptCount val="6"/>
                <c:pt idx="0">
                  <c:v>282.0</c:v>
                </c:pt>
                <c:pt idx="1">
                  <c:v>95.29</c:v>
                </c:pt>
                <c:pt idx="2">
                  <c:v>93.76</c:v>
                </c:pt>
                <c:pt idx="3">
                  <c:v>93.49</c:v>
                </c:pt>
                <c:pt idx="4">
                  <c:v>93.08</c:v>
                </c:pt>
                <c:pt idx="5">
                  <c:v>92.8</c:v>
                </c:pt>
              </c:numCache>
            </c:numRef>
          </c:val>
          <c:smooth val="0"/>
        </c:ser>
        <c:ser>
          <c:idx val="2"/>
          <c:order val="2"/>
          <c:tx>
            <c:strRef>
              <c:f>Sheet1!$D$87</c:f>
              <c:strCache>
                <c:ptCount val="1"/>
                <c:pt idx="0">
                  <c:v>Kmeans</c:v>
                </c:pt>
              </c:strCache>
            </c:strRef>
          </c:tx>
          <c:spPr>
            <a:ln w="28575" cap="rnd">
              <a:solidFill>
                <a:schemeClr val="accent3"/>
              </a:solidFill>
              <a:round/>
            </a:ln>
            <a:effectLst/>
          </c:spPr>
          <c:marker>
            <c:symbol val="none"/>
          </c:marker>
          <c:cat>
            <c:numRef>
              <c:f>Sheet1!$A$88:$A$93</c:f>
              <c:numCache>
                <c:formatCode>General</c:formatCode>
                <c:ptCount val="6"/>
                <c:pt idx="0">
                  <c:v>2.0</c:v>
                </c:pt>
                <c:pt idx="1">
                  <c:v>3.0</c:v>
                </c:pt>
                <c:pt idx="2">
                  <c:v>4.0</c:v>
                </c:pt>
                <c:pt idx="3">
                  <c:v>5.0</c:v>
                </c:pt>
                <c:pt idx="4">
                  <c:v>6.0</c:v>
                </c:pt>
                <c:pt idx="5">
                  <c:v>7.0</c:v>
                </c:pt>
              </c:numCache>
            </c:numRef>
          </c:cat>
          <c:val>
            <c:numRef>
              <c:f>Sheet1!$D$88:$D$93</c:f>
              <c:numCache>
                <c:formatCode>General</c:formatCode>
                <c:ptCount val="6"/>
                <c:pt idx="0">
                  <c:v>281.3</c:v>
                </c:pt>
                <c:pt idx="1">
                  <c:v>95.211</c:v>
                </c:pt>
                <c:pt idx="2">
                  <c:v>80.354</c:v>
                </c:pt>
                <c:pt idx="3">
                  <c:v>66.7458</c:v>
                </c:pt>
                <c:pt idx="4">
                  <c:v>62.99</c:v>
                </c:pt>
                <c:pt idx="5">
                  <c:v>40.041</c:v>
                </c:pt>
              </c:numCache>
            </c:numRef>
          </c:val>
          <c:smooth val="0"/>
        </c:ser>
        <c:dLbls>
          <c:showLegendKey val="0"/>
          <c:showVal val="0"/>
          <c:showCatName val="0"/>
          <c:showSerName val="0"/>
          <c:showPercent val="0"/>
          <c:showBubbleSize val="0"/>
        </c:dLbls>
        <c:smooth val="0"/>
        <c:axId val="-664512016"/>
        <c:axId val="-664050656"/>
      </c:lineChart>
      <c:catAx>
        <c:axId val="-664512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means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050656"/>
        <c:crosses val="autoZero"/>
        <c:auto val="1"/>
        <c:lblAlgn val="ctr"/>
        <c:lblOffset val="100"/>
        <c:noMultiLvlLbl val="0"/>
      </c:catAx>
      <c:valAx>
        <c:axId val="-66405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 Squared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512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Not Normalized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Sheet1!$B$87</c:f>
              <c:strCache>
                <c:ptCount val="1"/>
                <c:pt idx="0">
                  <c:v>Complete Link</c:v>
                </c:pt>
              </c:strCache>
            </c:strRef>
          </c:tx>
          <c:spPr>
            <a:ln w="28575" cap="rnd">
              <a:solidFill>
                <a:schemeClr val="accent1"/>
              </a:solidFill>
              <a:round/>
            </a:ln>
            <a:effectLst/>
          </c:spPr>
          <c:marker>
            <c:symbol val="none"/>
          </c:marker>
          <c:cat>
            <c:numRef>
              <c:f>Sheet1!$A$74:$A$79</c:f>
              <c:numCache>
                <c:formatCode>General</c:formatCode>
                <c:ptCount val="6"/>
                <c:pt idx="0">
                  <c:v>2.0</c:v>
                </c:pt>
                <c:pt idx="1">
                  <c:v>3.0</c:v>
                </c:pt>
                <c:pt idx="2">
                  <c:v>4.0</c:v>
                </c:pt>
                <c:pt idx="3">
                  <c:v>5.0</c:v>
                </c:pt>
                <c:pt idx="4">
                  <c:v>6.0</c:v>
                </c:pt>
                <c:pt idx="5">
                  <c:v>7.0</c:v>
                </c:pt>
              </c:numCache>
            </c:numRef>
          </c:cat>
          <c:val>
            <c:numRef>
              <c:f>Sheet1!$B$74:$B$79</c:f>
              <c:numCache>
                <c:formatCode>General</c:formatCode>
                <c:ptCount val="6"/>
                <c:pt idx="0">
                  <c:v>3600.0</c:v>
                </c:pt>
                <c:pt idx="1">
                  <c:v>2061.0</c:v>
                </c:pt>
                <c:pt idx="2">
                  <c:v>1933.0</c:v>
                </c:pt>
                <c:pt idx="3">
                  <c:v>996.0</c:v>
                </c:pt>
                <c:pt idx="4">
                  <c:v>847.0</c:v>
                </c:pt>
                <c:pt idx="5">
                  <c:v>779.0</c:v>
                </c:pt>
              </c:numCache>
            </c:numRef>
          </c:val>
          <c:smooth val="0"/>
        </c:ser>
        <c:ser>
          <c:idx val="1"/>
          <c:order val="1"/>
          <c:tx>
            <c:strRef>
              <c:f>Sheet1!$C$73</c:f>
              <c:strCache>
                <c:ptCount val="1"/>
                <c:pt idx="0">
                  <c:v>Single Link</c:v>
                </c:pt>
              </c:strCache>
            </c:strRef>
          </c:tx>
          <c:spPr>
            <a:ln w="28575" cap="rnd">
              <a:solidFill>
                <a:schemeClr val="accent2"/>
              </a:solidFill>
              <a:round/>
            </a:ln>
            <a:effectLst/>
          </c:spPr>
          <c:marker>
            <c:symbol val="none"/>
          </c:marker>
          <c:cat>
            <c:numRef>
              <c:f>Sheet1!$A$74:$A$79</c:f>
              <c:numCache>
                <c:formatCode>General</c:formatCode>
                <c:ptCount val="6"/>
                <c:pt idx="0">
                  <c:v>2.0</c:v>
                </c:pt>
                <c:pt idx="1">
                  <c:v>3.0</c:v>
                </c:pt>
                <c:pt idx="2">
                  <c:v>4.0</c:v>
                </c:pt>
                <c:pt idx="3">
                  <c:v>5.0</c:v>
                </c:pt>
                <c:pt idx="4">
                  <c:v>6.0</c:v>
                </c:pt>
                <c:pt idx="5">
                  <c:v>7.0</c:v>
                </c:pt>
              </c:numCache>
            </c:numRef>
          </c:cat>
          <c:val>
            <c:numRef>
              <c:f>Sheet1!$C$74:$C$79</c:f>
              <c:numCache>
                <c:formatCode>General</c:formatCode>
                <c:ptCount val="6"/>
                <c:pt idx="0">
                  <c:v>4948.0</c:v>
                </c:pt>
                <c:pt idx="1">
                  <c:v>4843.0</c:v>
                </c:pt>
                <c:pt idx="2">
                  <c:v>4385.0</c:v>
                </c:pt>
                <c:pt idx="3">
                  <c:v>4384.0</c:v>
                </c:pt>
                <c:pt idx="4">
                  <c:v>4383.0</c:v>
                </c:pt>
                <c:pt idx="5">
                  <c:v>4381.0</c:v>
                </c:pt>
              </c:numCache>
            </c:numRef>
          </c:val>
          <c:smooth val="0"/>
        </c:ser>
        <c:ser>
          <c:idx val="2"/>
          <c:order val="2"/>
          <c:tx>
            <c:strRef>
              <c:f>Sheet1!$D$73</c:f>
              <c:strCache>
                <c:ptCount val="1"/>
                <c:pt idx="0">
                  <c:v>K Means</c:v>
                </c:pt>
              </c:strCache>
            </c:strRef>
          </c:tx>
          <c:spPr>
            <a:ln w="28575" cap="rnd">
              <a:solidFill>
                <a:schemeClr val="accent3"/>
              </a:solidFill>
              <a:round/>
            </a:ln>
            <a:effectLst/>
          </c:spPr>
          <c:marker>
            <c:symbol val="none"/>
          </c:marker>
          <c:val>
            <c:numRef>
              <c:f>Sheet1!$D$74:$D$79</c:f>
              <c:numCache>
                <c:formatCode>General</c:formatCode>
                <c:ptCount val="6"/>
                <c:pt idx="0">
                  <c:v>2730.05</c:v>
                </c:pt>
                <c:pt idx="1">
                  <c:v>1497.61</c:v>
                </c:pt>
                <c:pt idx="2">
                  <c:v>1048.23</c:v>
                </c:pt>
                <c:pt idx="3">
                  <c:v>834.0170000000001</c:v>
                </c:pt>
                <c:pt idx="4">
                  <c:v>662.6</c:v>
                </c:pt>
                <c:pt idx="5">
                  <c:v>548.255</c:v>
                </c:pt>
              </c:numCache>
            </c:numRef>
          </c:val>
          <c:smooth val="0"/>
        </c:ser>
        <c:dLbls>
          <c:showLegendKey val="0"/>
          <c:showVal val="0"/>
          <c:showCatName val="0"/>
          <c:showSerName val="0"/>
          <c:showPercent val="0"/>
          <c:showBubbleSize val="0"/>
        </c:dLbls>
        <c:smooth val="0"/>
        <c:axId val="-665708832"/>
        <c:axId val="-665069840"/>
      </c:lineChart>
      <c:catAx>
        <c:axId val="-66570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means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069840"/>
        <c:crosses val="autoZero"/>
        <c:auto val="1"/>
        <c:lblAlgn val="ctr"/>
        <c:lblOffset val="100"/>
        <c:noMultiLvlLbl val="0"/>
      </c:catAx>
      <c:valAx>
        <c:axId val="-66506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 Squared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70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Sheet1!$B$118</c:f>
              <c:strCache>
                <c:ptCount val="1"/>
                <c:pt idx="0">
                  <c:v>Random</c:v>
                </c:pt>
              </c:strCache>
            </c:strRef>
          </c:tx>
          <c:spPr>
            <a:ln w="28575" cap="rnd">
              <a:solidFill>
                <a:schemeClr val="accent1"/>
              </a:solidFill>
              <a:round/>
            </a:ln>
            <a:effectLst/>
          </c:spPr>
          <c:marker>
            <c:symbol val="none"/>
          </c:marker>
          <c:cat>
            <c:numRef>
              <c:f>Sheet1!$A$119:$A$124</c:f>
              <c:numCache>
                <c:formatCode>General</c:formatCode>
                <c:ptCount val="6"/>
                <c:pt idx="0">
                  <c:v>2.0</c:v>
                </c:pt>
                <c:pt idx="1">
                  <c:v>3.0</c:v>
                </c:pt>
                <c:pt idx="2">
                  <c:v>4.0</c:v>
                </c:pt>
                <c:pt idx="3">
                  <c:v>5.0</c:v>
                </c:pt>
                <c:pt idx="4">
                  <c:v>6.0</c:v>
                </c:pt>
                <c:pt idx="5">
                  <c:v>7.0</c:v>
                </c:pt>
              </c:numCache>
            </c:numRef>
          </c:cat>
          <c:val>
            <c:numRef>
              <c:f>Sheet1!$B$119:$B$124</c:f>
              <c:numCache>
                <c:formatCode>General</c:formatCode>
                <c:ptCount val="6"/>
                <c:pt idx="0">
                  <c:v>250.0</c:v>
                </c:pt>
                <c:pt idx="1">
                  <c:v>148.0</c:v>
                </c:pt>
                <c:pt idx="2">
                  <c:v>100.2</c:v>
                </c:pt>
                <c:pt idx="3">
                  <c:v>62.8</c:v>
                </c:pt>
                <c:pt idx="4">
                  <c:v>55.4</c:v>
                </c:pt>
                <c:pt idx="5">
                  <c:v>56.0</c:v>
                </c:pt>
              </c:numCache>
            </c:numRef>
          </c:val>
          <c:smooth val="0"/>
        </c:ser>
        <c:ser>
          <c:idx val="1"/>
          <c:order val="1"/>
          <c:tx>
            <c:strRef>
              <c:f>Sheet1!$C$118</c:f>
              <c:strCache>
                <c:ptCount val="1"/>
                <c:pt idx="0">
                  <c:v>First Selected</c:v>
                </c:pt>
              </c:strCache>
            </c:strRef>
          </c:tx>
          <c:spPr>
            <a:ln w="28575" cap="rnd">
              <a:solidFill>
                <a:schemeClr val="accent2"/>
              </a:solidFill>
              <a:round/>
            </a:ln>
            <a:effectLst/>
          </c:spPr>
          <c:marker>
            <c:symbol val="none"/>
          </c:marker>
          <c:cat>
            <c:numRef>
              <c:f>Sheet1!$A$119:$A$124</c:f>
              <c:numCache>
                <c:formatCode>General</c:formatCode>
                <c:ptCount val="6"/>
                <c:pt idx="0">
                  <c:v>2.0</c:v>
                </c:pt>
                <c:pt idx="1">
                  <c:v>3.0</c:v>
                </c:pt>
                <c:pt idx="2">
                  <c:v>4.0</c:v>
                </c:pt>
                <c:pt idx="3">
                  <c:v>5.0</c:v>
                </c:pt>
                <c:pt idx="4">
                  <c:v>6.0</c:v>
                </c:pt>
                <c:pt idx="5">
                  <c:v>7.0</c:v>
                </c:pt>
              </c:numCache>
            </c:numRef>
          </c:cat>
          <c:val>
            <c:numRef>
              <c:f>Sheet1!$C$119:$C$124</c:f>
              <c:numCache>
                <c:formatCode>General</c:formatCode>
                <c:ptCount val="6"/>
                <c:pt idx="0">
                  <c:v>281.3</c:v>
                </c:pt>
                <c:pt idx="1">
                  <c:v>95.211</c:v>
                </c:pt>
                <c:pt idx="2">
                  <c:v>80.354</c:v>
                </c:pt>
                <c:pt idx="3">
                  <c:v>66.7458</c:v>
                </c:pt>
                <c:pt idx="4">
                  <c:v>62.99</c:v>
                </c:pt>
                <c:pt idx="5">
                  <c:v>40.041</c:v>
                </c:pt>
              </c:numCache>
            </c:numRef>
          </c:val>
          <c:smooth val="0"/>
        </c:ser>
        <c:ser>
          <c:idx val="2"/>
          <c:order val="2"/>
          <c:tx>
            <c:strRef>
              <c:f>Sheet1!$D$118</c:f>
              <c:strCache>
                <c:ptCount val="1"/>
                <c:pt idx="0">
                  <c:v>Last Selected</c:v>
                </c:pt>
              </c:strCache>
            </c:strRef>
          </c:tx>
          <c:spPr>
            <a:ln w="28575" cap="rnd">
              <a:solidFill>
                <a:schemeClr val="accent3"/>
              </a:solidFill>
              <a:round/>
            </a:ln>
            <a:effectLst/>
          </c:spPr>
          <c:marker>
            <c:symbol val="none"/>
          </c:marker>
          <c:cat>
            <c:numRef>
              <c:f>Sheet1!$A$119:$A$124</c:f>
              <c:numCache>
                <c:formatCode>General</c:formatCode>
                <c:ptCount val="6"/>
                <c:pt idx="0">
                  <c:v>2.0</c:v>
                </c:pt>
                <c:pt idx="1">
                  <c:v>3.0</c:v>
                </c:pt>
                <c:pt idx="2">
                  <c:v>4.0</c:v>
                </c:pt>
                <c:pt idx="3">
                  <c:v>5.0</c:v>
                </c:pt>
                <c:pt idx="4">
                  <c:v>6.0</c:v>
                </c:pt>
                <c:pt idx="5">
                  <c:v>7.0</c:v>
                </c:pt>
              </c:numCache>
            </c:numRef>
          </c:cat>
          <c:val>
            <c:numRef>
              <c:f>Sheet1!$D$119:$D$124</c:f>
              <c:numCache>
                <c:formatCode>General</c:formatCode>
                <c:ptCount val="6"/>
                <c:pt idx="0">
                  <c:v>256.44</c:v>
                </c:pt>
                <c:pt idx="1">
                  <c:v>95.0</c:v>
                </c:pt>
                <c:pt idx="2">
                  <c:v>71.0</c:v>
                </c:pt>
                <c:pt idx="3">
                  <c:v>62.0</c:v>
                </c:pt>
                <c:pt idx="4">
                  <c:v>49.67</c:v>
                </c:pt>
                <c:pt idx="5">
                  <c:v>46.71</c:v>
                </c:pt>
              </c:numCache>
            </c:numRef>
          </c:val>
          <c:smooth val="0"/>
        </c:ser>
        <c:ser>
          <c:idx val="3"/>
          <c:order val="3"/>
          <c:tx>
            <c:strRef>
              <c:f>Sheet1!$E$118</c:f>
              <c:strCache>
                <c:ptCount val="1"/>
                <c:pt idx="0">
                  <c:v>Most Similar</c:v>
                </c:pt>
              </c:strCache>
            </c:strRef>
          </c:tx>
          <c:spPr>
            <a:ln w="28575" cap="rnd">
              <a:solidFill>
                <a:schemeClr val="accent4"/>
              </a:solidFill>
              <a:round/>
            </a:ln>
            <a:effectLst/>
          </c:spPr>
          <c:marker>
            <c:symbol val="none"/>
          </c:marker>
          <c:cat>
            <c:numRef>
              <c:f>Sheet1!$A$119:$A$124</c:f>
              <c:numCache>
                <c:formatCode>General</c:formatCode>
                <c:ptCount val="6"/>
                <c:pt idx="0">
                  <c:v>2.0</c:v>
                </c:pt>
                <c:pt idx="1">
                  <c:v>3.0</c:v>
                </c:pt>
                <c:pt idx="2">
                  <c:v>4.0</c:v>
                </c:pt>
                <c:pt idx="3">
                  <c:v>5.0</c:v>
                </c:pt>
                <c:pt idx="4">
                  <c:v>6.0</c:v>
                </c:pt>
                <c:pt idx="5">
                  <c:v>7.0</c:v>
                </c:pt>
              </c:numCache>
            </c:numRef>
          </c:cat>
          <c:val>
            <c:numRef>
              <c:f>Sheet1!$E$119:$E$124</c:f>
              <c:numCache>
                <c:formatCode>General</c:formatCode>
                <c:ptCount val="6"/>
                <c:pt idx="0">
                  <c:v>252.0</c:v>
                </c:pt>
                <c:pt idx="1">
                  <c:v>95.0</c:v>
                </c:pt>
                <c:pt idx="2">
                  <c:v>71.0</c:v>
                </c:pt>
                <c:pt idx="3">
                  <c:v>58.0</c:v>
                </c:pt>
                <c:pt idx="4">
                  <c:v>55.59</c:v>
                </c:pt>
                <c:pt idx="5">
                  <c:v>55.44</c:v>
                </c:pt>
              </c:numCache>
            </c:numRef>
          </c:val>
          <c:smooth val="0"/>
        </c:ser>
        <c:ser>
          <c:idx val="4"/>
          <c:order val="4"/>
          <c:tx>
            <c:strRef>
              <c:f>Sheet1!$F$118</c:f>
              <c:strCache>
                <c:ptCount val="1"/>
                <c:pt idx="0">
                  <c:v>Least Similar</c:v>
                </c:pt>
              </c:strCache>
            </c:strRef>
          </c:tx>
          <c:spPr>
            <a:ln w="28575" cap="rnd">
              <a:solidFill>
                <a:schemeClr val="accent5"/>
              </a:solidFill>
              <a:round/>
            </a:ln>
            <a:effectLst/>
          </c:spPr>
          <c:marker>
            <c:symbol val="none"/>
          </c:marker>
          <c:cat>
            <c:numRef>
              <c:f>Sheet1!$A$119:$A$124</c:f>
              <c:numCache>
                <c:formatCode>General</c:formatCode>
                <c:ptCount val="6"/>
                <c:pt idx="0">
                  <c:v>2.0</c:v>
                </c:pt>
                <c:pt idx="1">
                  <c:v>3.0</c:v>
                </c:pt>
                <c:pt idx="2">
                  <c:v>4.0</c:v>
                </c:pt>
                <c:pt idx="3">
                  <c:v>5.0</c:v>
                </c:pt>
                <c:pt idx="4">
                  <c:v>6.0</c:v>
                </c:pt>
                <c:pt idx="5">
                  <c:v>7.0</c:v>
                </c:pt>
              </c:numCache>
            </c:numRef>
          </c:cat>
          <c:val>
            <c:numRef>
              <c:f>Sheet1!$F$119:$F$124</c:f>
              <c:numCache>
                <c:formatCode>General</c:formatCode>
                <c:ptCount val="6"/>
                <c:pt idx="0">
                  <c:v>252.0</c:v>
                </c:pt>
                <c:pt idx="1">
                  <c:v>235.0</c:v>
                </c:pt>
                <c:pt idx="2">
                  <c:v>81.6</c:v>
                </c:pt>
                <c:pt idx="3">
                  <c:v>78.5</c:v>
                </c:pt>
                <c:pt idx="4">
                  <c:v>77.34</c:v>
                </c:pt>
                <c:pt idx="5">
                  <c:v>76.68000000000001</c:v>
                </c:pt>
              </c:numCache>
            </c:numRef>
          </c:val>
          <c:smooth val="0"/>
        </c:ser>
        <c:dLbls>
          <c:showLegendKey val="0"/>
          <c:showVal val="0"/>
          <c:showCatName val="0"/>
          <c:showSerName val="0"/>
          <c:showPercent val="0"/>
          <c:showBubbleSize val="0"/>
        </c:dLbls>
        <c:smooth val="0"/>
        <c:axId val="-664077040"/>
        <c:axId val="-664074192"/>
      </c:lineChart>
      <c:catAx>
        <c:axId val="-664077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074192"/>
        <c:crosses val="autoZero"/>
        <c:auto val="1"/>
        <c:lblAlgn val="ctr"/>
        <c:lblOffset val="100"/>
        <c:noMultiLvlLbl val="0"/>
      </c:catAx>
      <c:valAx>
        <c:axId val="-66407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 Squared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07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905</Words>
  <Characters>5163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Jones</dc:creator>
  <cp:keywords/>
  <dc:description/>
  <cp:lastModifiedBy>William Jones</cp:lastModifiedBy>
  <cp:revision>16</cp:revision>
  <dcterms:created xsi:type="dcterms:W3CDTF">2017-11-26T03:57:00Z</dcterms:created>
  <dcterms:modified xsi:type="dcterms:W3CDTF">2017-11-30T06:05:00Z</dcterms:modified>
</cp:coreProperties>
</file>