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77" w:rsidRDefault="00E03577" w:rsidP="00E03577">
      <w:pPr>
        <w:pStyle w:val="Title"/>
      </w:pPr>
      <w:r>
        <w:t>Assignment M3P3</w:t>
      </w:r>
    </w:p>
    <w:p w:rsidR="00D03F13" w:rsidRDefault="00E03577">
      <w:r>
        <w:t>Weiyu Wan , wwan9@gatech.edu</w:t>
      </w:r>
      <w:bookmarkStart w:id="0" w:name="_GoBack"/>
      <w:bookmarkEnd w:id="0"/>
    </w:p>
    <w:p w:rsidR="00D03F13" w:rsidRDefault="00D03F13" w:rsidP="00330E1D">
      <w:pPr>
        <w:pStyle w:val="Heading1"/>
      </w:pPr>
      <w:r>
        <w:t>Part 1. Technical Indicators</w:t>
      </w:r>
    </w:p>
    <w:p w:rsidR="00FC4E83" w:rsidRDefault="00D03F13">
      <w:pPr>
        <w:rPr>
          <w:rFonts w:ascii="Arial" w:hAnsi="Arial" w:cs="Arial"/>
          <w:sz w:val="20"/>
          <w:szCs w:val="20"/>
        </w:rPr>
      </w:pPr>
      <w:r w:rsidRPr="0035240D">
        <w:rPr>
          <w:rFonts w:ascii="Arial" w:hAnsi="Arial" w:cs="Arial"/>
          <w:sz w:val="20"/>
          <w:szCs w:val="20"/>
        </w:rPr>
        <w:t>In this part, I used three different kind of indicators. There are</w:t>
      </w:r>
      <w:r w:rsidR="00F972F3" w:rsidRPr="0035240D">
        <w:rPr>
          <w:rFonts w:ascii="Arial" w:hAnsi="Arial" w:cs="Arial"/>
          <w:sz w:val="20"/>
          <w:szCs w:val="20"/>
        </w:rPr>
        <w:t xml:space="preserve"> </w:t>
      </w:r>
      <w:r w:rsidR="00A55450" w:rsidRPr="0035240D">
        <w:rPr>
          <w:rFonts w:ascii="Arial" w:hAnsi="Arial" w:cs="Arial"/>
          <w:sz w:val="20"/>
          <w:szCs w:val="20"/>
        </w:rPr>
        <w:t xml:space="preserve">Moving Average indicator, Rate-of-Change (ROC) indicator, and </w:t>
      </w:r>
      <w:r w:rsidR="00330E1D" w:rsidRPr="0035240D">
        <w:rPr>
          <w:rFonts w:ascii="Arial" w:hAnsi="Arial" w:cs="Arial"/>
          <w:sz w:val="20"/>
          <w:szCs w:val="20"/>
        </w:rPr>
        <w:t>the Relative Strength Index (RSI)</w:t>
      </w:r>
      <w:r w:rsidR="00A55450" w:rsidRPr="0035240D">
        <w:rPr>
          <w:rFonts w:ascii="Arial" w:hAnsi="Arial" w:cs="Arial"/>
          <w:sz w:val="20"/>
          <w:szCs w:val="20"/>
        </w:rPr>
        <w:t>.</w:t>
      </w:r>
    </w:p>
    <w:p w:rsidR="00FC4E83" w:rsidRPr="0035240D" w:rsidRDefault="003E39FA">
      <w:pPr>
        <w:rPr>
          <w:rFonts w:ascii="Arial" w:hAnsi="Arial" w:cs="Arial"/>
          <w:sz w:val="20"/>
          <w:szCs w:val="20"/>
        </w:rPr>
      </w:pPr>
      <w:r w:rsidRPr="003E39FA">
        <w:rPr>
          <w:rFonts w:ascii="Arial" w:hAnsi="Arial" w:cs="Arial"/>
          <w:b/>
          <w:sz w:val="20"/>
          <w:szCs w:val="20"/>
        </w:rPr>
        <w:t>Note:</w:t>
      </w:r>
      <w:r>
        <w:rPr>
          <w:rFonts w:ascii="Arial" w:hAnsi="Arial" w:cs="Arial"/>
          <w:sz w:val="20"/>
          <w:szCs w:val="20"/>
        </w:rPr>
        <w:t xml:space="preserve"> </w:t>
      </w:r>
      <w:r w:rsidR="00FC4E83">
        <w:rPr>
          <w:rFonts w:ascii="Arial" w:hAnsi="Arial" w:cs="Arial"/>
          <w:sz w:val="20"/>
          <w:szCs w:val="20"/>
        </w:rPr>
        <w:t>All the</w:t>
      </w:r>
      <w:r>
        <w:rPr>
          <w:rFonts w:ascii="Arial" w:hAnsi="Arial" w:cs="Arial"/>
          <w:sz w:val="20"/>
          <w:szCs w:val="20"/>
        </w:rPr>
        <w:t xml:space="preserve"> data in figures of this</w:t>
      </w:r>
      <w:r w:rsidR="00FC4E83">
        <w:rPr>
          <w:rFonts w:ascii="Arial" w:hAnsi="Arial" w:cs="Arial"/>
          <w:sz w:val="20"/>
          <w:szCs w:val="20"/>
        </w:rPr>
        <w:t xml:space="preserve"> part are </w:t>
      </w:r>
      <w:r>
        <w:rPr>
          <w:rFonts w:ascii="Arial" w:hAnsi="Arial" w:cs="Arial"/>
          <w:color w:val="252525"/>
          <w:sz w:val="21"/>
          <w:szCs w:val="21"/>
          <w:shd w:val="clear" w:color="auto" w:fill="FFFFFF"/>
        </w:rPr>
        <w:t>normalize</w:t>
      </w:r>
      <w:r>
        <w:rPr>
          <w:rFonts w:ascii="Arial" w:hAnsi="Arial" w:cs="Arial"/>
          <w:color w:val="252525"/>
          <w:sz w:val="21"/>
          <w:szCs w:val="21"/>
          <w:shd w:val="clear" w:color="auto" w:fill="FFFFFF"/>
        </w:rPr>
        <w:t>d</w:t>
      </w:r>
      <w:r>
        <w:rPr>
          <w:rFonts w:ascii="Arial" w:hAnsi="Arial" w:cs="Arial"/>
          <w:color w:val="252525"/>
          <w:sz w:val="21"/>
          <w:szCs w:val="21"/>
          <w:shd w:val="clear" w:color="auto" w:fill="FFFFFF"/>
        </w:rPr>
        <w:t xml:space="preserve"> to 1.0 </w:t>
      </w:r>
      <w:r>
        <w:rPr>
          <w:rFonts w:ascii="Arial" w:hAnsi="Arial" w:cs="Arial"/>
          <w:color w:val="252525"/>
          <w:sz w:val="21"/>
          <w:szCs w:val="21"/>
          <w:shd w:val="clear" w:color="auto" w:fill="FFFFFF"/>
        </w:rPr>
        <w:t xml:space="preserve">by divided the value </w:t>
      </w:r>
      <w:r>
        <w:rPr>
          <w:rFonts w:ascii="Arial" w:hAnsi="Arial" w:cs="Arial"/>
          <w:color w:val="252525"/>
          <w:sz w:val="21"/>
          <w:szCs w:val="21"/>
          <w:shd w:val="clear" w:color="auto" w:fill="FFFFFF"/>
        </w:rPr>
        <w:t>at the start of the date range</w:t>
      </w:r>
      <w:r>
        <w:rPr>
          <w:rFonts w:ascii="Arial" w:hAnsi="Arial" w:cs="Arial"/>
          <w:color w:val="252525"/>
          <w:sz w:val="21"/>
          <w:szCs w:val="21"/>
          <w:shd w:val="clear" w:color="auto" w:fill="FFFFFF"/>
        </w:rPr>
        <w:t>.</w:t>
      </w:r>
    </w:p>
    <w:p w:rsidR="00A55450" w:rsidRPr="0035240D" w:rsidRDefault="00A55450" w:rsidP="00A55450">
      <w:pPr>
        <w:pStyle w:val="ListParagraph"/>
        <w:numPr>
          <w:ilvl w:val="1"/>
          <w:numId w:val="1"/>
        </w:numPr>
        <w:rPr>
          <w:rFonts w:ascii="Arial" w:hAnsi="Arial" w:cs="Arial"/>
          <w:sz w:val="20"/>
          <w:szCs w:val="20"/>
        </w:rPr>
      </w:pPr>
      <w:r w:rsidRPr="0035240D">
        <w:rPr>
          <w:rFonts w:ascii="Arial" w:hAnsi="Arial" w:cs="Arial"/>
          <w:sz w:val="20"/>
          <w:szCs w:val="20"/>
        </w:rPr>
        <w:t>Simple Moving Average (SMA) indicator</w:t>
      </w:r>
    </w:p>
    <w:p w:rsidR="00A55450" w:rsidRPr="0035240D" w:rsidRDefault="00A55450" w:rsidP="00A55450">
      <w:pPr>
        <w:rPr>
          <w:rFonts w:ascii="Arial" w:hAnsi="Arial" w:cs="Arial"/>
          <w:sz w:val="20"/>
          <w:szCs w:val="20"/>
        </w:rPr>
      </w:pPr>
      <w:r w:rsidRPr="0035240D">
        <w:rPr>
          <w:rFonts w:ascii="Arial" w:hAnsi="Arial" w:cs="Arial"/>
          <w:sz w:val="20"/>
          <w:szCs w:val="20"/>
        </w:rPr>
        <w:t>Moving averages smooth the price data to form a trend following indicator. They do not predict price direction, but rather define the current direction with a lag. Moving averages lag because they are based on past prices. Despite this lag, moving averages help smooth price action and filter out the noise</w:t>
      </w:r>
      <w:r w:rsidR="00330E1D" w:rsidRPr="0035240D">
        <w:rPr>
          <w:rFonts w:ascii="Arial" w:hAnsi="Arial" w:cs="Arial"/>
          <w:sz w:val="20"/>
          <w:szCs w:val="20"/>
        </w:rPr>
        <w:t>.</w:t>
      </w:r>
    </w:p>
    <w:p w:rsidR="00A55450" w:rsidRPr="0035240D" w:rsidRDefault="00A55450" w:rsidP="00A55450">
      <w:pPr>
        <w:rPr>
          <w:rFonts w:ascii="Arial" w:hAnsi="Arial" w:cs="Arial"/>
          <w:sz w:val="20"/>
          <w:szCs w:val="20"/>
        </w:rPr>
      </w:pPr>
      <w:r w:rsidRPr="0035240D">
        <w:rPr>
          <w:rFonts w:ascii="Arial" w:hAnsi="Arial" w:cs="Arial"/>
          <w:sz w:val="20"/>
          <w:szCs w:val="20"/>
        </w:rPr>
        <w:t>A simple moving average is formed by computing the average price of a security over a specific number of periods. Most moving averages are based on closing prices. A 5-day simple moving average is the five day sum of closing prices divided by five. As its name implies, a moving average is an average that moves. Old data is dropped as new data comes available. This causes the average to move along the time scale.</w:t>
      </w:r>
    </w:p>
    <w:p w:rsidR="00330E1D" w:rsidRPr="0035240D" w:rsidRDefault="00330E1D" w:rsidP="00A55450">
      <w:pPr>
        <w:rPr>
          <w:rFonts w:ascii="Arial" w:hAnsi="Arial" w:cs="Arial"/>
          <w:sz w:val="20"/>
          <w:szCs w:val="20"/>
        </w:rPr>
      </w:pPr>
      <w:r w:rsidRPr="0035240D">
        <w:rPr>
          <w:rFonts w:ascii="Arial" w:hAnsi="Arial" w:cs="Arial"/>
          <w:sz w:val="20"/>
          <w:szCs w:val="20"/>
        </w:rPr>
        <w:t>The calculation of SMA is as following:</w:t>
      </w:r>
    </w:p>
    <w:p w:rsidR="00A55450" w:rsidRPr="0035240D" w:rsidRDefault="00A55450" w:rsidP="00330E1D">
      <w:pPr>
        <w:rPr>
          <w:rFonts w:ascii="Arial" w:hAnsi="Arial" w:cs="Arial"/>
          <w:sz w:val="20"/>
          <w:szCs w:val="20"/>
        </w:rPr>
      </w:pPr>
      <w:r w:rsidRPr="0035240D">
        <w:rPr>
          <w:rFonts w:ascii="Arial" w:hAnsi="Arial" w:cs="Arial"/>
          <w:sz w:val="20"/>
          <w:szCs w:val="20"/>
        </w:rPr>
        <w:t xml:space="preserve">Daily Closing Prices: 11,12,13,14,15,16,17 </w:t>
      </w:r>
    </w:p>
    <w:p w:rsidR="00A55450" w:rsidRPr="0035240D" w:rsidRDefault="00A55450" w:rsidP="00330E1D">
      <w:pPr>
        <w:rPr>
          <w:rFonts w:ascii="Arial" w:hAnsi="Arial" w:cs="Arial"/>
          <w:sz w:val="20"/>
          <w:szCs w:val="20"/>
        </w:rPr>
      </w:pPr>
      <w:r w:rsidRPr="0035240D">
        <w:rPr>
          <w:rFonts w:ascii="Arial" w:hAnsi="Arial" w:cs="Arial"/>
          <w:sz w:val="20"/>
          <w:szCs w:val="20"/>
        </w:rPr>
        <w:t>First day of 5-day SMA: (11 + 12 + 13 + 14 + 15) / 5 = 13</w:t>
      </w:r>
    </w:p>
    <w:p w:rsidR="00A55450" w:rsidRPr="0035240D" w:rsidRDefault="00A55450" w:rsidP="00330E1D">
      <w:pPr>
        <w:rPr>
          <w:rFonts w:ascii="Arial" w:hAnsi="Arial" w:cs="Arial"/>
          <w:sz w:val="20"/>
          <w:szCs w:val="20"/>
        </w:rPr>
      </w:pPr>
      <w:r w:rsidRPr="0035240D">
        <w:rPr>
          <w:rFonts w:ascii="Arial" w:hAnsi="Arial" w:cs="Arial"/>
          <w:sz w:val="20"/>
          <w:szCs w:val="20"/>
        </w:rPr>
        <w:t>Second day of 5-day SMA: (12 + 13 + 14 + 15 + 16) / 5 = 14</w:t>
      </w:r>
    </w:p>
    <w:p w:rsidR="00A55450" w:rsidRPr="0035240D" w:rsidRDefault="00A55450" w:rsidP="00A55450">
      <w:pPr>
        <w:rPr>
          <w:rFonts w:ascii="Arial" w:hAnsi="Arial" w:cs="Arial"/>
          <w:sz w:val="20"/>
          <w:szCs w:val="20"/>
        </w:rPr>
      </w:pPr>
      <w:r w:rsidRPr="0035240D">
        <w:rPr>
          <w:rFonts w:ascii="Arial" w:hAnsi="Arial" w:cs="Arial"/>
          <w:sz w:val="20"/>
          <w:szCs w:val="20"/>
        </w:rPr>
        <w:t>Third day of 5-day SMA: (13 + 14 + 15 + 16 + 17) / 5 = 15</w:t>
      </w:r>
    </w:p>
    <w:p w:rsidR="00330E1D" w:rsidRPr="0035240D" w:rsidRDefault="00330E1D" w:rsidP="00A55450">
      <w:pPr>
        <w:rPr>
          <w:rFonts w:ascii="Arial" w:hAnsi="Arial" w:cs="Arial"/>
          <w:sz w:val="20"/>
          <w:szCs w:val="20"/>
        </w:rPr>
      </w:pPr>
      <w:r w:rsidRPr="0035240D">
        <w:rPr>
          <w:rFonts w:ascii="Arial" w:hAnsi="Arial" w:cs="Arial"/>
          <w:sz w:val="20"/>
          <w:szCs w:val="20"/>
        </w:rPr>
        <w:t>Here we will use the relative different between SMA(5) and SMA(15)</w:t>
      </w:r>
      <w:r w:rsidR="0035240D" w:rsidRPr="0035240D">
        <w:rPr>
          <w:rFonts w:ascii="Arial" w:hAnsi="Arial" w:cs="Arial"/>
          <w:sz w:val="20"/>
          <w:szCs w:val="20"/>
        </w:rPr>
        <w:t xml:space="preserve"> as an indicator of trend. It is calculated with the following formula:</w:t>
      </w:r>
    </w:p>
    <w:p w:rsidR="0035240D" w:rsidRDefault="0035240D" w:rsidP="00A55450">
      <w:pPr>
        <w:rPr>
          <w:rFonts w:ascii="Arial" w:hAnsi="Arial" w:cs="Arial"/>
          <w:sz w:val="20"/>
          <w:szCs w:val="20"/>
        </w:rPr>
      </w:pPr>
      <m:oMathPara>
        <m:oMath>
          <m:r>
            <w:rPr>
              <w:rFonts w:ascii="Cambria Math" w:hAnsi="Cambria Math" w:cs="Arial"/>
              <w:sz w:val="20"/>
              <w:szCs w:val="20"/>
            </w:rPr>
            <m:t>M</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diff</m:t>
              </m:r>
            </m:sub>
          </m:sSub>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M</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t</m:t>
                  </m:r>
                </m:sub>
              </m:sSub>
              <m:d>
                <m:dPr>
                  <m:ctrlPr>
                    <w:rPr>
                      <w:rFonts w:ascii="Cambria Math" w:hAnsi="Cambria Math" w:cs="Arial"/>
                      <w:i/>
                      <w:sz w:val="20"/>
                      <w:szCs w:val="20"/>
                    </w:rPr>
                  </m:ctrlPr>
                </m:dPr>
                <m:e>
                  <m:r>
                    <w:rPr>
                      <w:rFonts w:ascii="Cambria Math" w:hAnsi="Cambria Math" w:cs="Arial"/>
                      <w:sz w:val="20"/>
                      <w:szCs w:val="20"/>
                    </w:rPr>
                    <m:t>5</m:t>
                  </m:r>
                </m:e>
              </m:d>
              <m:r>
                <w:rPr>
                  <w:rFonts w:ascii="Cambria Math" w:hAnsi="Cambria Math" w:cs="Arial"/>
                  <w:sz w:val="20"/>
                  <w:szCs w:val="20"/>
                </w:rPr>
                <m:t>-M</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t</m:t>
                  </m:r>
                </m:sub>
              </m:sSub>
              <m:r>
                <w:rPr>
                  <w:rFonts w:ascii="Cambria Math" w:hAnsi="Cambria Math" w:cs="Arial"/>
                  <w:sz w:val="20"/>
                  <w:szCs w:val="20"/>
                </w:rPr>
                <m:t>(15</m:t>
              </m:r>
              <m:r>
                <w:rPr>
                  <w:rFonts w:ascii="Cambria Math" w:hAnsi="Cambria Math" w:cs="Arial"/>
                  <w:sz w:val="20"/>
                  <w:szCs w:val="20"/>
                </w:rPr>
                <m:t>)</m:t>
              </m:r>
            </m:num>
            <m:den>
              <m:r>
                <w:rPr>
                  <w:rFonts w:ascii="Cambria Math" w:hAnsi="Cambria Math" w:cs="Arial"/>
                  <w:sz w:val="20"/>
                  <w:szCs w:val="20"/>
                </w:rPr>
                <m:t>Close_price(t)</m:t>
              </m:r>
            </m:den>
          </m:f>
        </m:oMath>
      </m:oMathPara>
    </w:p>
    <w:p w:rsidR="0035240D" w:rsidRDefault="0035240D" w:rsidP="0035240D">
      <w:pPr>
        <w:jc w:val="center"/>
        <w:rPr>
          <w:rFonts w:ascii="Arial" w:hAnsi="Arial" w:cs="Arial"/>
          <w:sz w:val="20"/>
          <w:szCs w:val="20"/>
        </w:rPr>
      </w:pPr>
      <w:r>
        <w:rPr>
          <w:noProof/>
        </w:rPr>
        <w:drawing>
          <wp:inline distT="0" distB="0" distL="0" distR="0">
            <wp:extent cx="3124200" cy="2343150"/>
            <wp:effectExtent l="0" t="0" r="0" b="0"/>
            <wp:docPr id="4" name="Picture 4" descr="C:\Users\vodkabuaa\AppData\Local\Microsoft\Windows\INetCache\Content.Word\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dkabuaa\AppData\Local\Microsoft\Windows\INetCache\Content.Word\m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5431" cy="2344073"/>
                    </a:xfrm>
                    <a:prstGeom prst="rect">
                      <a:avLst/>
                    </a:prstGeom>
                    <a:noFill/>
                    <a:ln>
                      <a:noFill/>
                    </a:ln>
                  </pic:spPr>
                </pic:pic>
              </a:graphicData>
            </a:graphic>
          </wp:inline>
        </w:drawing>
      </w:r>
    </w:p>
    <w:p w:rsidR="0035240D" w:rsidRDefault="0035240D" w:rsidP="0035240D">
      <w:pPr>
        <w:jc w:val="center"/>
        <w:rPr>
          <w:rFonts w:ascii="Arial" w:hAnsi="Arial" w:cs="Arial"/>
          <w:sz w:val="20"/>
          <w:szCs w:val="20"/>
        </w:rPr>
      </w:pPr>
      <w:r>
        <w:rPr>
          <w:rFonts w:ascii="Arial" w:hAnsi="Arial" w:cs="Arial"/>
          <w:sz w:val="20"/>
          <w:szCs w:val="20"/>
        </w:rPr>
        <w:lastRenderedPageBreak/>
        <w:t>Figure 1. MA5, MA15, MA(5, 10 diff) with close price of AAPL</w:t>
      </w:r>
    </w:p>
    <w:p w:rsidR="00330E1D" w:rsidRPr="0035240D" w:rsidRDefault="00330E1D" w:rsidP="00A55450">
      <w:pPr>
        <w:rPr>
          <w:rFonts w:ascii="Arial" w:hAnsi="Arial" w:cs="Arial"/>
          <w:sz w:val="20"/>
          <w:szCs w:val="20"/>
        </w:rPr>
      </w:pPr>
      <w:r w:rsidRPr="0035240D">
        <w:rPr>
          <w:rFonts w:ascii="Arial" w:hAnsi="Arial" w:cs="Arial"/>
          <w:sz w:val="20"/>
          <w:szCs w:val="20"/>
        </w:rPr>
        <w:t xml:space="preserve">Reference: </w:t>
      </w:r>
    </w:p>
    <w:p w:rsidR="00A55450" w:rsidRPr="0035240D" w:rsidRDefault="00330E1D" w:rsidP="00A55450">
      <w:pPr>
        <w:rPr>
          <w:rFonts w:ascii="Arial" w:hAnsi="Arial" w:cs="Arial"/>
          <w:sz w:val="20"/>
          <w:szCs w:val="20"/>
        </w:rPr>
      </w:pPr>
      <w:r w:rsidRPr="0035240D">
        <w:rPr>
          <w:rFonts w:ascii="Arial" w:hAnsi="Arial" w:cs="Arial"/>
          <w:sz w:val="20"/>
          <w:szCs w:val="20"/>
        </w:rPr>
        <w:t>http://stockcharts.com/school/doku.php?st=sma&amp;id=chart_school:technical_indicators:moving_averages</w:t>
      </w:r>
    </w:p>
    <w:p w:rsidR="00D03F13" w:rsidRPr="0035240D" w:rsidRDefault="005F4B5C" w:rsidP="00D03F13">
      <w:pPr>
        <w:pStyle w:val="ListParagraph"/>
        <w:numPr>
          <w:ilvl w:val="1"/>
          <w:numId w:val="1"/>
        </w:numPr>
        <w:rPr>
          <w:rFonts w:ascii="Arial" w:hAnsi="Arial" w:cs="Arial"/>
          <w:sz w:val="20"/>
          <w:szCs w:val="20"/>
        </w:rPr>
      </w:pPr>
      <w:r w:rsidRPr="0035240D">
        <w:rPr>
          <w:rFonts w:ascii="Arial" w:hAnsi="Arial" w:cs="Arial"/>
          <w:sz w:val="20"/>
          <w:szCs w:val="20"/>
        </w:rPr>
        <w:t>Rate-of-Change (ROC) indicator</w:t>
      </w:r>
    </w:p>
    <w:p w:rsidR="002A3AE3" w:rsidRDefault="002A3AE3" w:rsidP="002A3AE3">
      <w:pPr>
        <w:rPr>
          <w:rFonts w:ascii="Arial" w:hAnsi="Arial" w:cs="Arial"/>
          <w:sz w:val="20"/>
          <w:szCs w:val="20"/>
        </w:rPr>
      </w:pPr>
      <w:r w:rsidRPr="0035240D">
        <w:rPr>
          <w:rFonts w:ascii="Arial" w:hAnsi="Arial" w:cs="Arial"/>
          <w:sz w:val="20"/>
          <w:szCs w:val="20"/>
        </w:rPr>
        <w:t>The Rate-of-Change (ROC) indicator, which is also refer</w:t>
      </w:r>
      <w:r w:rsidR="00330E1D" w:rsidRPr="0035240D">
        <w:rPr>
          <w:rFonts w:ascii="Arial" w:hAnsi="Arial" w:cs="Arial"/>
          <w:sz w:val="20"/>
          <w:szCs w:val="20"/>
        </w:rPr>
        <w:t xml:space="preserve">red to as simply Momentum, is a </w:t>
      </w:r>
      <w:r w:rsidRPr="0035240D">
        <w:rPr>
          <w:rFonts w:ascii="Arial" w:hAnsi="Arial" w:cs="Arial"/>
          <w:sz w:val="20"/>
          <w:szCs w:val="20"/>
        </w:rPr>
        <w:t>pure </w:t>
      </w:r>
      <w:hyperlink r:id="rId6" w:anchor="momentum_oscillators" w:tooltip="chart_school:technical_indicators:introduction_to_technical_indicators_and_oscillators" w:history="1">
        <w:r w:rsidRPr="0035240D">
          <w:rPr>
            <w:rFonts w:ascii="Arial" w:hAnsi="Arial" w:cs="Arial"/>
            <w:sz w:val="20"/>
            <w:szCs w:val="20"/>
          </w:rPr>
          <w:t>momentum oscillator</w:t>
        </w:r>
      </w:hyperlink>
      <w:r w:rsidRPr="0035240D">
        <w:rPr>
          <w:rFonts w:ascii="Arial" w:hAnsi="Arial" w:cs="Arial"/>
          <w:sz w:val="20"/>
          <w:szCs w:val="20"/>
        </w:rPr>
        <w:t xml:space="preserve"> that measures the percent change in price from one period to the next. The ROC calculation compares the current price with the price “n” periods ago. The plot forms an oscillator that fluctuates above and below the zero line as the Rate-of-Change moves from positive to negative. As a momentum oscillator, ROC signals include centerline crossovers, divergences and overbought-oversold readings. </w:t>
      </w:r>
    </w:p>
    <w:p w:rsidR="0035240D" w:rsidRDefault="0035240D" w:rsidP="002A3AE3">
      <w:pPr>
        <w:rPr>
          <w:rFonts w:ascii="Arial" w:hAnsi="Arial" w:cs="Arial"/>
          <w:sz w:val="20"/>
          <w:szCs w:val="20"/>
        </w:rPr>
      </w:pPr>
      <w:r>
        <w:rPr>
          <w:rFonts w:ascii="Arial" w:hAnsi="Arial" w:cs="Arial"/>
          <w:sz w:val="20"/>
          <w:szCs w:val="20"/>
        </w:rPr>
        <w:t>It can be calculated with the following formula:</w:t>
      </w:r>
    </w:p>
    <w:p w:rsidR="0035240D" w:rsidRPr="0035240D" w:rsidRDefault="0035240D" w:rsidP="002A3AE3">
      <w:pPr>
        <w:rPr>
          <w:rFonts w:ascii="Arial" w:hAnsi="Arial" w:cs="Arial"/>
          <w:sz w:val="20"/>
          <w:szCs w:val="20"/>
        </w:rPr>
      </w:pPr>
      <m:oMathPara>
        <m:oMath>
          <m:r>
            <w:rPr>
              <w:rFonts w:ascii="Cambria Math" w:hAnsi="Cambria Math" w:cs="Arial"/>
              <w:sz w:val="20"/>
              <w:szCs w:val="20"/>
            </w:rPr>
            <m:t xml:space="preserve">ROC= </m:t>
          </m:r>
          <m:f>
            <m:fPr>
              <m:ctrlPr>
                <w:rPr>
                  <w:rFonts w:ascii="Cambria Math" w:hAnsi="Cambria Math" w:cs="Arial"/>
                  <w:i/>
                  <w:sz w:val="20"/>
                  <w:szCs w:val="20"/>
                </w:rPr>
              </m:ctrlPr>
            </m:fPr>
            <m:num>
              <m:r>
                <w:rPr>
                  <w:rFonts w:ascii="Cambria Math" w:hAnsi="Cambria Math" w:cs="Arial"/>
                  <w:sz w:val="20"/>
                  <w:szCs w:val="20"/>
                </w:rPr>
                <m:t>Close</m:t>
              </m:r>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-Close(t-n)</m:t>
              </m:r>
            </m:num>
            <m:den>
              <m:r>
                <w:rPr>
                  <w:rFonts w:ascii="Cambria Math" w:hAnsi="Cambria Math" w:cs="Arial"/>
                  <w:sz w:val="20"/>
                  <w:szCs w:val="20"/>
                </w:rPr>
                <m:t>Close(t-n)</m:t>
              </m:r>
            </m:den>
          </m:f>
        </m:oMath>
      </m:oMathPara>
    </w:p>
    <w:p w:rsidR="0035240D" w:rsidRDefault="0035240D" w:rsidP="0035240D">
      <w:pPr>
        <w:jc w:val="center"/>
        <w:rPr>
          <w:rFonts w:ascii="Arial" w:hAnsi="Arial" w:cs="Arial"/>
          <w:sz w:val="20"/>
          <w:szCs w:val="20"/>
        </w:rPr>
      </w:pPr>
      <w:r>
        <w:rPr>
          <w:noProof/>
        </w:rPr>
        <w:drawing>
          <wp:inline distT="0" distB="0" distL="0" distR="0">
            <wp:extent cx="3556000" cy="2667000"/>
            <wp:effectExtent l="0" t="0" r="6350" b="0"/>
            <wp:docPr id="5" name="Picture 5" descr="C:\Users\vodkabuaa\AppData\Local\Microsoft\Windows\INetCache\Content.Word\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dkabuaa\AppData\Local\Microsoft\Windows\INetCache\Content.Word\ro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295" cy="2668721"/>
                    </a:xfrm>
                    <a:prstGeom prst="rect">
                      <a:avLst/>
                    </a:prstGeom>
                    <a:noFill/>
                    <a:ln>
                      <a:noFill/>
                    </a:ln>
                  </pic:spPr>
                </pic:pic>
              </a:graphicData>
            </a:graphic>
          </wp:inline>
        </w:drawing>
      </w:r>
    </w:p>
    <w:p w:rsidR="0035240D" w:rsidRDefault="0035240D" w:rsidP="00FC4E83">
      <w:pPr>
        <w:jc w:val="center"/>
        <w:rPr>
          <w:rFonts w:ascii="Arial" w:hAnsi="Arial" w:cs="Arial"/>
          <w:sz w:val="20"/>
          <w:szCs w:val="20"/>
        </w:rPr>
      </w:pPr>
      <w:r>
        <w:rPr>
          <w:rFonts w:ascii="Arial" w:hAnsi="Arial" w:cs="Arial"/>
          <w:sz w:val="20"/>
          <w:szCs w:val="20"/>
        </w:rPr>
        <w:t xml:space="preserve">Figure </w:t>
      </w:r>
      <w:r>
        <w:rPr>
          <w:rFonts w:ascii="Arial" w:hAnsi="Arial" w:cs="Arial"/>
          <w:sz w:val="20"/>
          <w:szCs w:val="20"/>
        </w:rPr>
        <w:t>2</w:t>
      </w:r>
      <w:r>
        <w:rPr>
          <w:rFonts w:ascii="Arial" w:hAnsi="Arial" w:cs="Arial"/>
          <w:sz w:val="20"/>
          <w:szCs w:val="20"/>
        </w:rPr>
        <w:t xml:space="preserve">. </w:t>
      </w:r>
      <w:r>
        <w:rPr>
          <w:rFonts w:ascii="Arial" w:hAnsi="Arial" w:cs="Arial"/>
          <w:sz w:val="20"/>
          <w:szCs w:val="20"/>
        </w:rPr>
        <w:t xml:space="preserve">ROC(5) </w:t>
      </w:r>
      <w:r>
        <w:rPr>
          <w:rFonts w:ascii="Arial" w:hAnsi="Arial" w:cs="Arial"/>
          <w:sz w:val="20"/>
          <w:szCs w:val="20"/>
        </w:rPr>
        <w:t xml:space="preserve">with close price </w:t>
      </w:r>
      <w:r>
        <w:rPr>
          <w:rFonts w:ascii="Arial" w:hAnsi="Arial" w:cs="Arial"/>
          <w:sz w:val="20"/>
          <w:szCs w:val="20"/>
        </w:rPr>
        <w:t xml:space="preserve">of </w:t>
      </w:r>
      <w:r>
        <w:rPr>
          <w:rFonts w:ascii="Arial" w:hAnsi="Arial" w:cs="Arial"/>
          <w:sz w:val="20"/>
          <w:szCs w:val="20"/>
        </w:rPr>
        <w:t>AAPL</w:t>
      </w:r>
    </w:p>
    <w:p w:rsidR="00FC4E83" w:rsidRPr="0035240D" w:rsidRDefault="0035240D" w:rsidP="00D03F13">
      <w:pPr>
        <w:rPr>
          <w:rFonts w:ascii="Arial" w:hAnsi="Arial" w:cs="Arial"/>
          <w:sz w:val="20"/>
          <w:szCs w:val="20"/>
        </w:rPr>
      </w:pPr>
      <w:r>
        <w:rPr>
          <w:rFonts w:ascii="Arial" w:hAnsi="Arial" w:cs="Arial"/>
          <w:sz w:val="20"/>
          <w:szCs w:val="20"/>
        </w:rPr>
        <w:t xml:space="preserve">Reference: </w:t>
      </w:r>
      <w:hyperlink r:id="rId8" w:history="1">
        <w:r w:rsidR="00FC4E83" w:rsidRPr="00FC4E83">
          <w:t>http://stockcharts.com/school/doku.php?id=chart_school:technical_indicators:rate_of_change_roc_and_momentum</w:t>
        </w:r>
      </w:hyperlink>
    </w:p>
    <w:p w:rsidR="00B96066" w:rsidRPr="00FC4E83" w:rsidRDefault="00FC4E83" w:rsidP="00FC4E83">
      <w:pPr>
        <w:pStyle w:val="ListParagraph"/>
        <w:numPr>
          <w:ilvl w:val="1"/>
          <w:numId w:val="1"/>
        </w:numPr>
        <w:rPr>
          <w:rFonts w:ascii="Arial" w:hAnsi="Arial" w:cs="Arial"/>
          <w:sz w:val="20"/>
          <w:szCs w:val="20"/>
        </w:rPr>
      </w:pPr>
      <w:r w:rsidRPr="00FC4E83">
        <w:rPr>
          <w:rFonts w:ascii="Arial" w:hAnsi="Arial" w:cs="Arial"/>
          <w:sz w:val="20"/>
          <w:szCs w:val="20"/>
        </w:rPr>
        <w:t>Relative Strength Index (RSI)</w:t>
      </w:r>
    </w:p>
    <w:p w:rsidR="00FC4E83" w:rsidRDefault="00FC4E83" w:rsidP="00FC4E83">
      <w:pPr>
        <w:rPr>
          <w:rFonts w:ascii="Arial" w:hAnsi="Arial" w:cs="Arial"/>
          <w:sz w:val="20"/>
          <w:szCs w:val="20"/>
        </w:rPr>
      </w:pPr>
      <w:r w:rsidRPr="00FC4E83">
        <w:rPr>
          <w:rFonts w:ascii="Arial" w:hAnsi="Arial" w:cs="Arial"/>
          <w:sz w:val="20"/>
          <w:szCs w:val="20"/>
        </w:rPr>
        <w:t xml:space="preserve">The Relative Strength Index (RSI) is a momentum oscillator that measures the speed and change of price movements. RSI oscillates between zero and 100. Traditionally, RSI is considered overbought when above 70 and oversold when below 30. Signals can also be generated by looking for divergences, failure swings and centerline crossovers. RSI can also be used to identify the general trend. </w:t>
      </w:r>
    </w:p>
    <w:p w:rsidR="00FC4E83" w:rsidRDefault="00FC4E83" w:rsidP="00FC4E83">
      <w:pPr>
        <w:rPr>
          <w:rFonts w:ascii="Arial" w:hAnsi="Arial" w:cs="Arial"/>
          <w:sz w:val="20"/>
          <w:szCs w:val="20"/>
        </w:rPr>
      </w:pPr>
      <w:r>
        <w:rPr>
          <w:rFonts w:ascii="Arial" w:hAnsi="Arial" w:cs="Arial"/>
          <w:sz w:val="20"/>
          <w:szCs w:val="20"/>
        </w:rPr>
        <w:t>Given a period n, for example, RSI can be calculated with following formula:</w:t>
      </w:r>
    </w:p>
    <w:p w:rsidR="00FC4E83" w:rsidRPr="00FC4E83" w:rsidRDefault="00FC4E83" w:rsidP="00FC4E83">
      <w:pPr>
        <w:rPr>
          <w:rFonts w:ascii="Arial" w:hAnsi="Arial" w:cs="Arial"/>
          <w:sz w:val="20"/>
          <w:szCs w:val="20"/>
        </w:rPr>
      </w:pPr>
      <m:oMathPara>
        <m:oMath>
          <m:r>
            <w:rPr>
              <w:rFonts w:ascii="Cambria Math" w:hAnsi="Cambria Math" w:cs="Arial"/>
              <w:sz w:val="20"/>
              <w:szCs w:val="20"/>
            </w:rPr>
            <m:t xml:space="preserve">RSI=100- </m:t>
          </m:r>
          <m:f>
            <m:fPr>
              <m:ctrlPr>
                <w:rPr>
                  <w:rFonts w:ascii="Cambria Math" w:hAnsi="Cambria Math" w:cs="Arial"/>
                  <w:i/>
                  <w:sz w:val="20"/>
                  <w:szCs w:val="20"/>
                </w:rPr>
              </m:ctrlPr>
            </m:fPr>
            <m:num>
              <m:r>
                <w:rPr>
                  <w:rFonts w:ascii="Cambria Math" w:hAnsi="Cambria Math" w:cs="Arial"/>
                  <w:sz w:val="20"/>
                  <w:szCs w:val="20"/>
                </w:rPr>
                <m:t>100</m:t>
              </m:r>
            </m:num>
            <m:den>
              <m:r>
                <w:rPr>
                  <w:rFonts w:ascii="Cambria Math" w:hAnsi="Cambria Math" w:cs="Arial"/>
                  <w:sz w:val="20"/>
                  <w:szCs w:val="20"/>
                </w:rPr>
                <m:t>RS</m:t>
              </m:r>
            </m:den>
          </m:f>
        </m:oMath>
      </m:oMathPara>
    </w:p>
    <w:p w:rsidR="00FC4E83" w:rsidRPr="00FC4E83" w:rsidRDefault="00FC4E83" w:rsidP="00FC4E83">
      <w:pPr>
        <w:rPr>
          <w:rFonts w:ascii="Arial" w:hAnsi="Arial" w:cs="Arial"/>
          <w:sz w:val="20"/>
          <w:szCs w:val="20"/>
        </w:rPr>
      </w:pPr>
      <m:oMathPara>
        <m:oMath>
          <m:r>
            <w:rPr>
              <w:rFonts w:ascii="Cambria Math" w:hAnsi="Cambria Math" w:cs="Arial"/>
              <w:sz w:val="20"/>
              <w:szCs w:val="20"/>
            </w:rPr>
            <w:lastRenderedPageBreak/>
            <m:t>RS=</m:t>
          </m:r>
          <m:f>
            <m:fPr>
              <m:type m:val="skw"/>
              <m:ctrlPr>
                <w:rPr>
                  <w:rFonts w:ascii="Cambria Math" w:hAnsi="Cambria Math" w:cs="Arial"/>
                  <w:i/>
                  <w:sz w:val="20"/>
                  <w:szCs w:val="20"/>
                </w:rPr>
              </m:ctrlPr>
            </m:fPr>
            <m:num>
              <m:r>
                <w:rPr>
                  <w:rFonts w:ascii="Cambria Math" w:hAnsi="Cambria Math" w:cs="Arial"/>
                  <w:sz w:val="20"/>
                  <w:szCs w:val="20"/>
                </w:rPr>
                <m:t>Average Gain</m:t>
              </m:r>
            </m:num>
            <m:den>
              <m:r>
                <w:rPr>
                  <w:rFonts w:ascii="Cambria Math" w:hAnsi="Cambria Math" w:cs="Arial"/>
                  <w:sz w:val="20"/>
                  <w:szCs w:val="20"/>
                </w:rPr>
                <m:t>Average Loss</m:t>
              </m:r>
            </m:den>
          </m:f>
        </m:oMath>
      </m:oMathPara>
    </w:p>
    <w:p w:rsidR="00FC4E83" w:rsidRPr="00FC4E83" w:rsidRDefault="00FC4E83" w:rsidP="00FC4E83">
      <w:pPr>
        <w:rPr>
          <w:rFonts w:ascii="Arial" w:hAnsi="Arial" w:cs="Arial"/>
          <w:sz w:val="20"/>
          <w:szCs w:val="20"/>
          <w:lang w:val="en"/>
        </w:rPr>
      </w:pPr>
      <w:r>
        <w:rPr>
          <w:rFonts w:ascii="Arial" w:hAnsi="Arial" w:cs="Arial"/>
          <w:sz w:val="20"/>
          <w:szCs w:val="20"/>
          <w:lang w:val="en"/>
        </w:rPr>
        <w:t>Note: Average Gain is the total earning divided by time period n, Average Loss is the total loss divided by the time period n.</w:t>
      </w:r>
    </w:p>
    <w:p w:rsidR="00FC4E83" w:rsidRDefault="00FC4E83" w:rsidP="00FC4E83">
      <w:pPr>
        <w:jc w:val="center"/>
        <w:rPr>
          <w:lang w:val="en"/>
        </w:rPr>
      </w:pPr>
      <w:r>
        <w:rPr>
          <w:noProof/>
        </w:rPr>
        <w:drawing>
          <wp:inline distT="0" distB="0" distL="0" distR="0">
            <wp:extent cx="3711787" cy="2783840"/>
            <wp:effectExtent l="0" t="0" r="3175" b="0"/>
            <wp:docPr id="6" name="Picture 6" descr="C:\Users\vodkabuaa\AppData\Local\Microsoft\Windows\INetCache\Content.Word\r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odkabuaa\AppData\Local\Microsoft\Windows\INetCache\Content.Word\rs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952" cy="2785464"/>
                    </a:xfrm>
                    <a:prstGeom prst="rect">
                      <a:avLst/>
                    </a:prstGeom>
                    <a:noFill/>
                    <a:ln>
                      <a:noFill/>
                    </a:ln>
                  </pic:spPr>
                </pic:pic>
              </a:graphicData>
            </a:graphic>
          </wp:inline>
        </w:drawing>
      </w:r>
    </w:p>
    <w:p w:rsidR="00FC4E83" w:rsidRPr="00FC4E83" w:rsidRDefault="00FC4E83" w:rsidP="00FC4E83">
      <w:pPr>
        <w:jc w:val="center"/>
        <w:rPr>
          <w:lang w:val="en"/>
        </w:rPr>
      </w:pPr>
      <w:r>
        <w:rPr>
          <w:rFonts w:ascii="Arial" w:hAnsi="Arial" w:cs="Arial"/>
          <w:sz w:val="20"/>
          <w:szCs w:val="20"/>
        </w:rPr>
        <w:t xml:space="preserve">Figure </w:t>
      </w:r>
      <w:r>
        <w:rPr>
          <w:rFonts w:ascii="Arial" w:hAnsi="Arial" w:cs="Arial"/>
          <w:sz w:val="20"/>
          <w:szCs w:val="20"/>
        </w:rPr>
        <w:t>3</w:t>
      </w:r>
      <w:r>
        <w:rPr>
          <w:rFonts w:ascii="Arial" w:hAnsi="Arial" w:cs="Arial"/>
          <w:sz w:val="20"/>
          <w:szCs w:val="20"/>
        </w:rPr>
        <w:t xml:space="preserve">. </w:t>
      </w:r>
      <w:r>
        <w:rPr>
          <w:rFonts w:ascii="Arial" w:hAnsi="Arial" w:cs="Arial"/>
          <w:sz w:val="20"/>
          <w:szCs w:val="20"/>
        </w:rPr>
        <w:t>RSI</w:t>
      </w:r>
      <w:r>
        <w:rPr>
          <w:rFonts w:ascii="Arial" w:hAnsi="Arial" w:cs="Arial"/>
          <w:sz w:val="20"/>
          <w:szCs w:val="20"/>
        </w:rPr>
        <w:t>(</w:t>
      </w:r>
      <w:r>
        <w:rPr>
          <w:rFonts w:ascii="Arial" w:hAnsi="Arial" w:cs="Arial"/>
          <w:sz w:val="20"/>
          <w:szCs w:val="20"/>
        </w:rPr>
        <w:t>14</w:t>
      </w:r>
      <w:r>
        <w:rPr>
          <w:rFonts w:ascii="Arial" w:hAnsi="Arial" w:cs="Arial"/>
          <w:sz w:val="20"/>
          <w:szCs w:val="20"/>
        </w:rPr>
        <w:t>) with close price of AAPL</w:t>
      </w:r>
    </w:p>
    <w:p w:rsidR="00FC4E83" w:rsidRPr="00FC4E83" w:rsidRDefault="00FC4E83" w:rsidP="00FC4E83">
      <w:pPr>
        <w:rPr>
          <w:rFonts w:ascii="Arial" w:hAnsi="Arial" w:cs="Arial"/>
          <w:sz w:val="20"/>
          <w:szCs w:val="20"/>
        </w:rPr>
      </w:pPr>
      <w:r w:rsidRPr="00FC4E83">
        <w:rPr>
          <w:rFonts w:ascii="Arial" w:hAnsi="Arial" w:cs="Arial"/>
          <w:sz w:val="20"/>
          <w:szCs w:val="20"/>
        </w:rPr>
        <w:t>Reference:</w:t>
      </w:r>
    </w:p>
    <w:p w:rsidR="00B96066" w:rsidRDefault="00E03577" w:rsidP="00FC4E83">
      <w:pPr>
        <w:rPr>
          <w:rFonts w:ascii="Arial" w:hAnsi="Arial" w:cs="Arial"/>
          <w:sz w:val="20"/>
          <w:szCs w:val="20"/>
        </w:rPr>
      </w:pPr>
      <w:hyperlink r:id="rId10" w:history="1">
        <w:r w:rsidR="00A55450" w:rsidRPr="00FC4E83">
          <w:rPr>
            <w:rFonts w:ascii="Arial" w:hAnsi="Arial" w:cs="Arial"/>
            <w:sz w:val="20"/>
            <w:szCs w:val="20"/>
          </w:rPr>
          <w:t>http://stockcharts.com/school/doku.php?st=rsi&amp;id=chart_school:technical_indicators:relative_strength_index_rsi</w:t>
        </w:r>
      </w:hyperlink>
    </w:p>
    <w:p w:rsidR="00A55450" w:rsidRDefault="00894E44" w:rsidP="003E39FA">
      <w:pPr>
        <w:pStyle w:val="Heading1"/>
      </w:pPr>
      <w:r>
        <w:t>Part 2: Best Possible Strategy</w:t>
      </w:r>
    </w:p>
    <w:p w:rsidR="00894E44" w:rsidRPr="00894E44" w:rsidRDefault="00894E44" w:rsidP="00894E44">
      <w:r>
        <w:t xml:space="preserve">The best strategy is constructed with the following rule: </w:t>
      </w:r>
      <w:r w:rsidRPr="00894E44">
        <w:t>Every day: if the stock will go up tomorrow, buy it. If the stock wil</w:t>
      </w:r>
      <w:r w:rsidR="00061277">
        <w:t>l go down tomorrow, short it.  </w:t>
      </w:r>
      <w:r w:rsidRPr="00894E44">
        <w:t>And close all positions every day.</w:t>
      </w:r>
    </w:p>
    <w:p w:rsidR="00894E44" w:rsidRDefault="00894E44" w:rsidP="00894E44">
      <w:pPr>
        <w:jc w:val="center"/>
      </w:pPr>
      <w:r>
        <w:rPr>
          <w:noProof/>
        </w:rPr>
        <w:lastRenderedPageBreak/>
        <w:drawing>
          <wp:inline distT="0" distB="0" distL="0" distR="0">
            <wp:extent cx="3813387" cy="2860040"/>
            <wp:effectExtent l="0" t="0" r="0" b="0"/>
            <wp:docPr id="7" name="Picture 7" descr="C:\Users\vodkabuaa\AppData\Local\Microsoft\Windows\INetCache\Content.Word\bench_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odkabuaa\AppData\Local\Microsoft\Windows\INetCache\Content.Word\bench_b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0677" cy="2865508"/>
                    </a:xfrm>
                    <a:prstGeom prst="rect">
                      <a:avLst/>
                    </a:prstGeom>
                    <a:noFill/>
                    <a:ln>
                      <a:noFill/>
                    </a:ln>
                  </pic:spPr>
                </pic:pic>
              </a:graphicData>
            </a:graphic>
          </wp:inline>
        </w:drawing>
      </w:r>
    </w:p>
    <w:p w:rsidR="00894E44" w:rsidRPr="00FC4E83" w:rsidRDefault="00894E44" w:rsidP="00894E44">
      <w:pPr>
        <w:jc w:val="center"/>
        <w:rPr>
          <w:lang w:val="en"/>
        </w:rPr>
      </w:pPr>
      <w:r>
        <w:rPr>
          <w:rFonts w:ascii="Arial" w:hAnsi="Arial" w:cs="Arial"/>
          <w:sz w:val="20"/>
          <w:szCs w:val="20"/>
        </w:rPr>
        <w:t xml:space="preserve">Figure </w:t>
      </w:r>
      <w:r>
        <w:rPr>
          <w:rFonts w:ascii="Arial" w:hAnsi="Arial" w:cs="Arial"/>
          <w:sz w:val="20"/>
          <w:szCs w:val="20"/>
        </w:rPr>
        <w:t>4</w:t>
      </w:r>
      <w:r>
        <w:rPr>
          <w:rFonts w:ascii="Arial" w:hAnsi="Arial" w:cs="Arial"/>
          <w:sz w:val="20"/>
          <w:szCs w:val="20"/>
        </w:rPr>
        <w:t xml:space="preserve">. </w:t>
      </w:r>
      <w:r>
        <w:rPr>
          <w:rFonts w:ascii="Arial" w:hAnsi="Arial" w:cs="Arial"/>
          <w:sz w:val="20"/>
          <w:szCs w:val="20"/>
        </w:rPr>
        <w:t>Best portfolio vs Benchmark</w:t>
      </w:r>
    </w:p>
    <w:p w:rsidR="00894E44" w:rsidRPr="00061277" w:rsidRDefault="00894E44" w:rsidP="00061277">
      <w:pPr>
        <w:rPr>
          <w:lang w:val="en"/>
        </w:rPr>
      </w:pPr>
      <w:r>
        <w:rPr>
          <w:lang w:val="en"/>
        </w:rPr>
        <w:t>The performance of best portfolio and benchmark are as following:</w:t>
      </w:r>
    </w:p>
    <w:p w:rsidR="003E39FA" w:rsidRPr="003E39FA" w:rsidRDefault="003E39FA" w:rsidP="00EE189B">
      <w:pPr>
        <w:pStyle w:val="ListParagraph"/>
        <w:spacing w:line="240" w:lineRule="auto"/>
        <w:ind w:left="360" w:firstLine="576"/>
        <w:rPr>
          <w:lang w:val="en"/>
        </w:rPr>
      </w:pPr>
      <w:r w:rsidRPr="003E39FA">
        <w:rPr>
          <w:lang w:val="en"/>
        </w:rPr>
        <w:t>Date Range: 2008-01-02 00:00:00 to 2009-12-31 00:00:00</w:t>
      </w:r>
    </w:p>
    <w:p w:rsidR="003E39FA" w:rsidRPr="003E39FA" w:rsidRDefault="003E39FA" w:rsidP="00EE189B">
      <w:pPr>
        <w:pStyle w:val="ListParagraph"/>
        <w:spacing w:line="240" w:lineRule="auto"/>
        <w:ind w:left="360" w:firstLine="576"/>
        <w:rPr>
          <w:lang w:val="en"/>
        </w:rPr>
      </w:pPr>
    </w:p>
    <w:p w:rsidR="003E39FA" w:rsidRPr="003E39FA" w:rsidRDefault="003E39FA" w:rsidP="00EE189B">
      <w:pPr>
        <w:pStyle w:val="ListParagraph"/>
        <w:spacing w:line="240" w:lineRule="auto"/>
        <w:ind w:left="360" w:firstLine="576"/>
        <w:rPr>
          <w:lang w:val="en"/>
        </w:rPr>
      </w:pPr>
      <w:r w:rsidRPr="003E39FA">
        <w:rPr>
          <w:lang w:val="en"/>
        </w:rPr>
        <w:t>Cumulative Return of BestPortfolio: 2.94948</w:t>
      </w:r>
    </w:p>
    <w:p w:rsidR="003E39FA" w:rsidRPr="003E39FA" w:rsidRDefault="003E39FA" w:rsidP="00EE189B">
      <w:pPr>
        <w:pStyle w:val="ListParagraph"/>
        <w:spacing w:line="240" w:lineRule="auto"/>
        <w:ind w:left="360" w:firstLine="576"/>
        <w:rPr>
          <w:lang w:val="en"/>
        </w:rPr>
      </w:pPr>
      <w:r w:rsidRPr="003E39FA">
        <w:rPr>
          <w:lang w:val="en"/>
        </w:rPr>
        <w:t>Cumulative Return of BenchMark : 0.03164</w:t>
      </w:r>
    </w:p>
    <w:p w:rsidR="003E39FA" w:rsidRPr="003E39FA" w:rsidRDefault="003E39FA" w:rsidP="00EE189B">
      <w:pPr>
        <w:pStyle w:val="ListParagraph"/>
        <w:spacing w:line="240" w:lineRule="auto"/>
        <w:ind w:left="360" w:firstLine="576"/>
        <w:rPr>
          <w:lang w:val="en"/>
        </w:rPr>
      </w:pPr>
    </w:p>
    <w:p w:rsidR="003E39FA" w:rsidRPr="003E39FA" w:rsidRDefault="003E39FA" w:rsidP="00EE189B">
      <w:pPr>
        <w:pStyle w:val="ListParagraph"/>
        <w:spacing w:line="240" w:lineRule="auto"/>
        <w:ind w:left="360" w:firstLine="576"/>
        <w:rPr>
          <w:lang w:val="en"/>
        </w:rPr>
      </w:pPr>
      <w:r w:rsidRPr="003E39FA">
        <w:rPr>
          <w:lang w:val="en"/>
        </w:rPr>
        <w:t>Standard Deviation of BestPortfolio: 0.003219370857476855</w:t>
      </w:r>
    </w:p>
    <w:p w:rsidR="003E39FA" w:rsidRPr="003E39FA" w:rsidRDefault="003E39FA" w:rsidP="00EE189B">
      <w:pPr>
        <w:pStyle w:val="ListParagraph"/>
        <w:spacing w:line="240" w:lineRule="auto"/>
        <w:ind w:left="360" w:firstLine="576"/>
        <w:rPr>
          <w:lang w:val="en"/>
        </w:rPr>
      </w:pPr>
      <w:r w:rsidRPr="003E39FA">
        <w:rPr>
          <w:lang w:val="en"/>
        </w:rPr>
        <w:t>Standard Deviation of BenchMark : 0.008740537520147718</w:t>
      </w:r>
    </w:p>
    <w:p w:rsidR="003E39FA" w:rsidRPr="003E39FA" w:rsidRDefault="003E39FA" w:rsidP="00EE189B">
      <w:pPr>
        <w:pStyle w:val="ListParagraph"/>
        <w:spacing w:line="240" w:lineRule="auto"/>
        <w:ind w:left="360" w:firstLine="576"/>
        <w:rPr>
          <w:lang w:val="en"/>
        </w:rPr>
      </w:pPr>
    </w:p>
    <w:p w:rsidR="003E39FA" w:rsidRPr="003E39FA" w:rsidRDefault="003E39FA" w:rsidP="00EE189B">
      <w:pPr>
        <w:pStyle w:val="ListParagraph"/>
        <w:spacing w:line="240" w:lineRule="auto"/>
        <w:ind w:left="360" w:firstLine="576"/>
        <w:rPr>
          <w:lang w:val="en"/>
        </w:rPr>
      </w:pPr>
      <w:r w:rsidRPr="003E39FA">
        <w:rPr>
          <w:lang w:val="en"/>
        </w:rPr>
        <w:t>Average Daily Return of BestPortfolio: 0.0027342012745606116</w:t>
      </w:r>
    </w:p>
    <w:p w:rsidR="003E39FA" w:rsidRPr="003E39FA" w:rsidRDefault="003E39FA" w:rsidP="00EE189B">
      <w:pPr>
        <w:pStyle w:val="ListParagraph"/>
        <w:spacing w:line="240" w:lineRule="auto"/>
        <w:ind w:left="360" w:firstLine="576"/>
        <w:rPr>
          <w:lang w:val="en"/>
        </w:rPr>
      </w:pPr>
      <w:r w:rsidRPr="003E39FA">
        <w:rPr>
          <w:lang w:val="en"/>
        </w:rPr>
        <w:t>Average Daily Return of BenchMark : 0.00010006911696834135</w:t>
      </w:r>
    </w:p>
    <w:p w:rsidR="003E39FA" w:rsidRPr="003E39FA" w:rsidRDefault="003E39FA" w:rsidP="00EE189B">
      <w:pPr>
        <w:pStyle w:val="ListParagraph"/>
        <w:spacing w:line="240" w:lineRule="auto"/>
        <w:ind w:left="360" w:firstLine="576"/>
        <w:rPr>
          <w:lang w:val="en"/>
        </w:rPr>
      </w:pPr>
    </w:p>
    <w:p w:rsidR="003E39FA" w:rsidRPr="003E39FA" w:rsidRDefault="003E39FA" w:rsidP="00EE189B">
      <w:pPr>
        <w:pStyle w:val="ListParagraph"/>
        <w:spacing w:line="240" w:lineRule="auto"/>
        <w:ind w:left="360" w:firstLine="576"/>
        <w:rPr>
          <w:lang w:val="en"/>
        </w:rPr>
      </w:pPr>
      <w:r w:rsidRPr="003E39FA">
        <w:rPr>
          <w:lang w:val="en"/>
        </w:rPr>
        <w:t>Final Portfolio Value of BestPortfolio: 394948.0</w:t>
      </w:r>
    </w:p>
    <w:p w:rsidR="00E40C64" w:rsidRPr="00E40C64" w:rsidRDefault="003E39FA" w:rsidP="00EE189B">
      <w:pPr>
        <w:pStyle w:val="ListParagraph"/>
        <w:spacing w:line="240" w:lineRule="auto"/>
        <w:ind w:left="360" w:firstLine="576"/>
        <w:rPr>
          <w:lang w:val="en"/>
        </w:rPr>
      </w:pPr>
      <w:r w:rsidRPr="003E39FA">
        <w:rPr>
          <w:lang w:val="en"/>
        </w:rPr>
        <w:t>Final Portfolio Value of BenchMark: 103164.0</w:t>
      </w:r>
    </w:p>
    <w:p w:rsidR="002E483E" w:rsidRDefault="00061277" w:rsidP="00061277">
      <w:pPr>
        <w:pStyle w:val="Heading1"/>
      </w:pPr>
      <w:r>
        <w:t>Part 3</w:t>
      </w:r>
      <w:r>
        <w:t xml:space="preserve">: </w:t>
      </w:r>
      <w:r w:rsidRPr="00061277">
        <w:t>Manual Rule-Based Trader</w:t>
      </w:r>
    </w:p>
    <w:p w:rsidR="0093135E" w:rsidRDefault="00A277A7" w:rsidP="00A277A7">
      <w:pPr>
        <w:rPr>
          <w:rFonts w:ascii="Arial" w:hAnsi="Arial" w:cs="Arial"/>
          <w:sz w:val="20"/>
          <w:szCs w:val="20"/>
        </w:rPr>
      </w:pPr>
      <w:r>
        <w:t xml:space="preserve">The manual strategy is designed based on ROC(5), RSI(14) and </w:t>
      </w:r>
      <w:r w:rsidRPr="0035240D">
        <w:rPr>
          <w:rFonts w:ascii="Arial" w:hAnsi="Arial" w:cs="Arial"/>
          <w:sz w:val="20"/>
          <w:szCs w:val="20"/>
        </w:rPr>
        <w:t>relative different between SMA(5) and SMA(15)</w:t>
      </w:r>
      <w:r>
        <w:rPr>
          <w:rFonts w:ascii="Arial" w:hAnsi="Arial" w:cs="Arial"/>
          <w:sz w:val="20"/>
          <w:szCs w:val="20"/>
        </w:rPr>
        <w:t>. (The value of the indicators are not normalized)And we will trade with the following rule:</w:t>
      </w:r>
    </w:p>
    <w:p w:rsidR="00A277A7" w:rsidRDefault="00A277A7" w:rsidP="00A277A7">
      <w:pPr>
        <w:rPr>
          <w:rFonts w:ascii="Arial" w:hAnsi="Arial" w:cs="Arial"/>
          <w:sz w:val="20"/>
          <w:szCs w:val="20"/>
        </w:rPr>
      </w:pPr>
      <w:r>
        <w:rPr>
          <w:rFonts w:ascii="Arial" w:hAnsi="Arial" w:cs="Arial"/>
          <w:sz w:val="20"/>
          <w:szCs w:val="20"/>
        </w:rPr>
        <w:t>When ROC(5) &lt; -0.04, RSI(14)</w:t>
      </w:r>
      <w:r w:rsidR="00E40C64">
        <w:rPr>
          <w:rFonts w:ascii="Arial" w:hAnsi="Arial" w:cs="Arial"/>
          <w:sz w:val="20"/>
          <w:szCs w:val="20"/>
        </w:rPr>
        <w:t xml:space="preserve"> &lt; 40</w:t>
      </w:r>
      <w:r>
        <w:rPr>
          <w:rFonts w:ascii="Arial" w:hAnsi="Arial" w:cs="Arial"/>
          <w:sz w:val="20"/>
          <w:szCs w:val="20"/>
        </w:rPr>
        <w:t xml:space="preserve"> and MA_5_diff_10 &lt; -0.015, we will short.</w:t>
      </w:r>
    </w:p>
    <w:p w:rsidR="00E40C64" w:rsidRDefault="00E40C64" w:rsidP="00E40C64">
      <w:r>
        <w:t>condition_short = (df["ROC_5"] &lt; -0.04) &amp; (df["RSI_14"] &lt; 40) &amp; (df["MA_5_diff_15"] &lt; -0.015)</w:t>
      </w:r>
    </w:p>
    <w:p w:rsidR="00A277A7" w:rsidRDefault="00A277A7" w:rsidP="00A277A7">
      <w:pPr>
        <w:rPr>
          <w:rFonts w:ascii="Arial" w:hAnsi="Arial" w:cs="Arial"/>
          <w:sz w:val="20"/>
          <w:szCs w:val="20"/>
        </w:rPr>
      </w:pPr>
      <w:r>
        <w:rPr>
          <w:rFonts w:ascii="Arial" w:hAnsi="Arial" w:cs="Arial"/>
          <w:sz w:val="20"/>
          <w:szCs w:val="20"/>
        </w:rPr>
        <w:t xml:space="preserve">When </w:t>
      </w:r>
      <w:r>
        <w:rPr>
          <w:rFonts w:ascii="Arial" w:hAnsi="Arial" w:cs="Arial"/>
          <w:sz w:val="20"/>
          <w:szCs w:val="20"/>
        </w:rPr>
        <w:t>ROC(5)</w:t>
      </w:r>
      <w:r>
        <w:rPr>
          <w:rFonts w:ascii="Arial" w:hAnsi="Arial" w:cs="Arial"/>
          <w:sz w:val="20"/>
          <w:szCs w:val="20"/>
        </w:rPr>
        <w:t xml:space="preserve"> &gt; 0.05</w:t>
      </w:r>
      <w:r>
        <w:rPr>
          <w:rFonts w:ascii="Arial" w:hAnsi="Arial" w:cs="Arial"/>
          <w:sz w:val="20"/>
          <w:szCs w:val="20"/>
        </w:rPr>
        <w:t>, RSI(14)</w:t>
      </w:r>
      <w:r w:rsidR="00E40C64">
        <w:rPr>
          <w:rFonts w:ascii="Arial" w:hAnsi="Arial" w:cs="Arial"/>
          <w:sz w:val="20"/>
          <w:szCs w:val="20"/>
        </w:rPr>
        <w:t xml:space="preserve">  &gt; </w:t>
      </w:r>
      <w:r>
        <w:rPr>
          <w:rFonts w:ascii="Arial" w:hAnsi="Arial" w:cs="Arial"/>
          <w:sz w:val="20"/>
          <w:szCs w:val="20"/>
        </w:rPr>
        <w:t xml:space="preserve"> 65 and MA_5_diff_10 &gt; 0.015, we will long</w:t>
      </w:r>
      <w:r>
        <w:rPr>
          <w:rFonts w:ascii="Arial" w:hAnsi="Arial" w:cs="Arial"/>
          <w:sz w:val="20"/>
          <w:szCs w:val="20"/>
        </w:rPr>
        <w:t>.</w:t>
      </w:r>
    </w:p>
    <w:p w:rsidR="00E40C64" w:rsidRDefault="00E40C64" w:rsidP="00E40C64">
      <w:r>
        <w:t xml:space="preserve">    condition_long = (df["ROC_5"] &gt; 0.05) &amp; (df["RSI_14"] &gt; 65) &amp; (df["MA_5_diff_15"] &gt; 0.015)</w:t>
      </w:r>
    </w:p>
    <w:p w:rsidR="00A277A7" w:rsidRDefault="00A277A7" w:rsidP="00A277A7">
      <w:r>
        <w:t>The meaning of the strategy:</w:t>
      </w:r>
    </w:p>
    <w:p w:rsidR="00A277A7" w:rsidRDefault="00A277A7" w:rsidP="00A277A7">
      <w:pPr>
        <w:rPr>
          <w:rFonts w:ascii="Arial" w:hAnsi="Arial" w:cs="Arial"/>
          <w:sz w:val="20"/>
          <w:szCs w:val="20"/>
        </w:rPr>
      </w:pPr>
      <w:r>
        <w:lastRenderedPageBreak/>
        <w:t>For short condition: the ROC stand for the momentum, we wish the stock has a drop momentum. But for safety we do n</w:t>
      </w:r>
      <w:r w:rsidR="00E40C64">
        <w:t>ot wish the stock is weak</w:t>
      </w:r>
      <w:r>
        <w:t>. Therefore, we require RSI(14)</w:t>
      </w:r>
      <w:r w:rsidR="00E40C64">
        <w:t xml:space="preserve"> &lt; 40</w:t>
      </w:r>
      <w:r>
        <w:t xml:space="preserve">. And </w:t>
      </w:r>
      <w:r>
        <w:rPr>
          <w:rFonts w:ascii="Arial" w:hAnsi="Arial" w:cs="Arial"/>
          <w:sz w:val="20"/>
          <w:szCs w:val="20"/>
        </w:rPr>
        <w:t>MA_5_diff_10 &lt; -0.015</w:t>
      </w:r>
      <w:r>
        <w:rPr>
          <w:rFonts w:ascii="Arial" w:hAnsi="Arial" w:cs="Arial"/>
          <w:sz w:val="20"/>
          <w:szCs w:val="20"/>
        </w:rPr>
        <w:t xml:space="preserve"> means the stock is Bear.</w:t>
      </w:r>
    </w:p>
    <w:p w:rsidR="00A277A7" w:rsidRDefault="00A277A7" w:rsidP="00A277A7">
      <w:pPr>
        <w:rPr>
          <w:rFonts w:ascii="Arial" w:hAnsi="Arial" w:cs="Arial"/>
          <w:sz w:val="20"/>
          <w:szCs w:val="20"/>
        </w:rPr>
      </w:pPr>
      <w:r>
        <w:t>For long</w:t>
      </w:r>
      <w:r>
        <w:t xml:space="preserve"> condition: the ROC stand for the momentum, we wish the stock has</w:t>
      </w:r>
      <w:r>
        <w:t xml:space="preserve"> a rocket </w:t>
      </w:r>
      <w:r>
        <w:t>momentum. But for safety we do n</w:t>
      </w:r>
      <w:r w:rsidR="00E40C64">
        <w:t>ot wish the stock has strong buy power</w:t>
      </w:r>
      <w:r>
        <w:t>. Therefore, we require RSI(14)</w:t>
      </w:r>
      <w:r w:rsidR="00E40C64">
        <w:t xml:space="preserve"> &gt; 65</w:t>
      </w:r>
      <w:r>
        <w:t xml:space="preserve">. And </w:t>
      </w:r>
      <w:r w:rsidR="00E40C64">
        <w:rPr>
          <w:rFonts w:ascii="Arial" w:hAnsi="Arial" w:cs="Arial"/>
          <w:sz w:val="20"/>
          <w:szCs w:val="20"/>
        </w:rPr>
        <w:t xml:space="preserve">MA_5_diff_10 &gt; </w:t>
      </w:r>
      <w:r>
        <w:rPr>
          <w:rFonts w:ascii="Arial" w:hAnsi="Arial" w:cs="Arial"/>
          <w:sz w:val="20"/>
          <w:szCs w:val="20"/>
        </w:rPr>
        <w:t>0.015</w:t>
      </w:r>
      <w:r w:rsidR="00E40C64">
        <w:rPr>
          <w:rFonts w:ascii="Arial" w:hAnsi="Arial" w:cs="Arial"/>
          <w:sz w:val="20"/>
          <w:szCs w:val="20"/>
        </w:rPr>
        <w:t xml:space="preserve"> means the stock is Bull</w:t>
      </w:r>
      <w:r>
        <w:rPr>
          <w:rFonts w:ascii="Arial" w:hAnsi="Arial" w:cs="Arial"/>
          <w:sz w:val="20"/>
          <w:szCs w:val="20"/>
        </w:rPr>
        <w:t>.</w:t>
      </w:r>
    </w:p>
    <w:p w:rsidR="00A277A7" w:rsidRPr="00A277A7" w:rsidRDefault="00A277A7" w:rsidP="00A277A7"/>
    <w:p w:rsidR="00631620" w:rsidRPr="00E40C64" w:rsidRDefault="00E40C64" w:rsidP="00E40C64">
      <w:r w:rsidRPr="00E40C64">
        <w:t xml:space="preserve">By run “python </w:t>
      </w:r>
      <w:r w:rsidRPr="00E40C64">
        <w:t>rule_based.py</w:t>
      </w:r>
      <w:r w:rsidRPr="00E40C64">
        <w:t xml:space="preserve">” we can generate the order file. With the order file, we can </w:t>
      </w:r>
      <w:r w:rsidR="003018FC">
        <w:t>update “</w:t>
      </w:r>
      <w:r w:rsidR="003018FC" w:rsidRPr="003018FC">
        <w:t>if __name__ == "__main__":</w:t>
      </w:r>
      <w:r w:rsidR="003018FC">
        <w:t xml:space="preserve"> ”</w:t>
      </w:r>
      <w:r>
        <w:t xml:space="preserve"> </w:t>
      </w:r>
      <w:r w:rsidR="003018FC">
        <w:t>with “</w:t>
      </w:r>
      <w:r w:rsidR="00326D15" w:rsidRPr="00326D15">
        <w:t>manual_bench_simulate()</w:t>
      </w:r>
      <w:r w:rsidR="003018FC">
        <w:t xml:space="preserve">“ and </w:t>
      </w:r>
      <w:r w:rsidRPr="00E40C64">
        <w:t xml:space="preserve">run </w:t>
      </w:r>
      <w:r>
        <w:t xml:space="preserve">“Python marketsim.py” to get the following result. </w:t>
      </w:r>
    </w:p>
    <w:p w:rsidR="00061277" w:rsidRDefault="00FE3194" w:rsidP="00061277">
      <w:pPr>
        <w:pStyle w:val="ListParagraph"/>
        <w:ind w:left="360" w:firstLine="576"/>
        <w:rPr>
          <w:lang w:val="en"/>
        </w:rPr>
      </w:pPr>
      <w:r>
        <w:rPr>
          <w:noProof/>
        </w:rPr>
        <w:drawing>
          <wp:inline distT="0" distB="0" distL="0" distR="0">
            <wp:extent cx="4632960" cy="3474720"/>
            <wp:effectExtent l="0" t="0" r="0" b="0"/>
            <wp:docPr id="9" name="Picture 9" descr="C:\Users\vodkabuaa\AppData\Local\Microsoft\Windows\INetCache\Content.Word\bench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odkabuaa\AppData\Local\Microsoft\Windows\INetCache\Content.Word\bench_manu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56" cy="3476667"/>
                    </a:xfrm>
                    <a:prstGeom prst="rect">
                      <a:avLst/>
                    </a:prstGeom>
                    <a:noFill/>
                    <a:ln>
                      <a:noFill/>
                    </a:ln>
                  </pic:spPr>
                </pic:pic>
              </a:graphicData>
            </a:graphic>
          </wp:inline>
        </w:drawing>
      </w:r>
    </w:p>
    <w:p w:rsidR="00E40C64" w:rsidRPr="00FC4E83" w:rsidRDefault="00E40C64" w:rsidP="00E40C64">
      <w:pPr>
        <w:jc w:val="center"/>
        <w:rPr>
          <w:lang w:val="en"/>
        </w:rPr>
      </w:pPr>
      <w:r>
        <w:rPr>
          <w:rFonts w:ascii="Arial" w:hAnsi="Arial" w:cs="Arial"/>
          <w:sz w:val="20"/>
          <w:szCs w:val="20"/>
        </w:rPr>
        <w:t xml:space="preserve">Figure </w:t>
      </w:r>
      <w:r>
        <w:rPr>
          <w:rFonts w:ascii="Arial" w:hAnsi="Arial" w:cs="Arial"/>
          <w:sz w:val="20"/>
          <w:szCs w:val="20"/>
        </w:rPr>
        <w:t>5</w:t>
      </w:r>
      <w:r>
        <w:rPr>
          <w:rFonts w:ascii="Arial" w:hAnsi="Arial" w:cs="Arial"/>
          <w:sz w:val="20"/>
          <w:szCs w:val="20"/>
        </w:rPr>
        <w:t xml:space="preserve">. </w:t>
      </w:r>
      <w:r>
        <w:rPr>
          <w:rFonts w:ascii="Arial" w:hAnsi="Arial" w:cs="Arial"/>
          <w:sz w:val="20"/>
          <w:szCs w:val="20"/>
        </w:rPr>
        <w:t>Manual Strategy</w:t>
      </w:r>
      <w:r>
        <w:rPr>
          <w:rFonts w:ascii="Arial" w:hAnsi="Arial" w:cs="Arial"/>
          <w:sz w:val="20"/>
          <w:szCs w:val="20"/>
        </w:rPr>
        <w:t xml:space="preserve"> vs Benchmark</w:t>
      </w:r>
    </w:p>
    <w:p w:rsidR="00E40C64" w:rsidRDefault="00E40C64" w:rsidP="00061277">
      <w:pPr>
        <w:pStyle w:val="ListParagraph"/>
        <w:ind w:left="360" w:firstLine="576"/>
        <w:rPr>
          <w:lang w:val="en"/>
        </w:rPr>
      </w:pPr>
    </w:p>
    <w:p w:rsidR="00FE3194" w:rsidRPr="00FE3194" w:rsidRDefault="00FE3194" w:rsidP="00EE189B">
      <w:pPr>
        <w:pStyle w:val="ListParagraph"/>
        <w:spacing w:line="240" w:lineRule="auto"/>
        <w:ind w:left="360" w:firstLine="576"/>
        <w:rPr>
          <w:lang w:val="en"/>
        </w:rPr>
      </w:pPr>
      <w:r w:rsidRPr="00FE3194">
        <w:rPr>
          <w:lang w:val="en"/>
        </w:rPr>
        <w:t>Date Range: 2008-01-02 00:00:00 to 2009-12-31 00:00:00</w:t>
      </w:r>
    </w:p>
    <w:p w:rsidR="00FE3194" w:rsidRPr="00FE3194" w:rsidRDefault="00FE3194" w:rsidP="00EE189B">
      <w:pPr>
        <w:pStyle w:val="ListParagraph"/>
        <w:spacing w:line="240" w:lineRule="auto"/>
        <w:ind w:left="360" w:firstLine="576"/>
        <w:rPr>
          <w:lang w:val="en"/>
        </w:rPr>
      </w:pPr>
    </w:p>
    <w:p w:rsidR="00FE3194" w:rsidRPr="00FE3194" w:rsidRDefault="00FE3194" w:rsidP="00EE189B">
      <w:pPr>
        <w:pStyle w:val="ListParagraph"/>
        <w:spacing w:line="240" w:lineRule="auto"/>
        <w:ind w:left="360" w:firstLine="576"/>
        <w:rPr>
          <w:lang w:val="en"/>
        </w:rPr>
      </w:pPr>
      <w:r w:rsidRPr="00FE3194">
        <w:rPr>
          <w:lang w:val="en"/>
        </w:rPr>
        <w:t>Cumulative Return of ManualPortfolio: 0.17764</w:t>
      </w:r>
    </w:p>
    <w:p w:rsidR="00FE3194" w:rsidRPr="00FE3194" w:rsidRDefault="00FE3194" w:rsidP="00EE189B">
      <w:pPr>
        <w:pStyle w:val="ListParagraph"/>
        <w:spacing w:line="240" w:lineRule="auto"/>
        <w:ind w:left="360" w:firstLine="576"/>
        <w:rPr>
          <w:lang w:val="en"/>
        </w:rPr>
      </w:pPr>
      <w:r w:rsidRPr="00FE3194">
        <w:rPr>
          <w:lang w:val="en"/>
        </w:rPr>
        <w:t>Cumulative Return of BenchMark : 0.03164</w:t>
      </w:r>
    </w:p>
    <w:p w:rsidR="00FE3194" w:rsidRPr="00FE3194" w:rsidRDefault="00FE3194" w:rsidP="00EE189B">
      <w:pPr>
        <w:pStyle w:val="ListParagraph"/>
        <w:spacing w:line="240" w:lineRule="auto"/>
        <w:ind w:left="360" w:firstLine="576"/>
        <w:rPr>
          <w:lang w:val="en"/>
        </w:rPr>
      </w:pPr>
    </w:p>
    <w:p w:rsidR="00FE3194" w:rsidRPr="00FE3194" w:rsidRDefault="00FE3194" w:rsidP="00EE189B">
      <w:pPr>
        <w:pStyle w:val="ListParagraph"/>
        <w:spacing w:line="240" w:lineRule="auto"/>
        <w:ind w:left="360" w:firstLine="576"/>
        <w:rPr>
          <w:lang w:val="en"/>
        </w:rPr>
      </w:pPr>
      <w:r w:rsidRPr="00FE3194">
        <w:rPr>
          <w:lang w:val="en"/>
        </w:rPr>
        <w:t>Standard Deviation of ManualPortfolio: 0.005983279945156924</w:t>
      </w:r>
    </w:p>
    <w:p w:rsidR="00FE3194" w:rsidRPr="00FE3194" w:rsidRDefault="00FE3194" w:rsidP="00EE189B">
      <w:pPr>
        <w:pStyle w:val="ListParagraph"/>
        <w:spacing w:line="240" w:lineRule="auto"/>
        <w:ind w:left="360" w:firstLine="576"/>
        <w:rPr>
          <w:lang w:val="en"/>
        </w:rPr>
      </w:pPr>
      <w:r w:rsidRPr="00FE3194">
        <w:rPr>
          <w:lang w:val="en"/>
        </w:rPr>
        <w:t>Standard Deviation of BenchMark : 0.008740537520147718</w:t>
      </w:r>
    </w:p>
    <w:p w:rsidR="00FE3194" w:rsidRPr="00FE3194" w:rsidRDefault="00FE3194" w:rsidP="00EE189B">
      <w:pPr>
        <w:pStyle w:val="ListParagraph"/>
        <w:spacing w:line="240" w:lineRule="auto"/>
        <w:ind w:left="360" w:firstLine="576"/>
        <w:rPr>
          <w:lang w:val="en"/>
        </w:rPr>
      </w:pPr>
    </w:p>
    <w:p w:rsidR="00FE3194" w:rsidRPr="00FE3194" w:rsidRDefault="00FE3194" w:rsidP="00EE189B">
      <w:pPr>
        <w:pStyle w:val="ListParagraph"/>
        <w:spacing w:line="240" w:lineRule="auto"/>
        <w:ind w:left="360" w:firstLine="576"/>
        <w:rPr>
          <w:lang w:val="en"/>
        </w:rPr>
      </w:pPr>
      <w:r w:rsidRPr="00FE3194">
        <w:rPr>
          <w:lang w:val="en"/>
        </w:rPr>
        <w:t>Average Daily Return of ManualPortfolio: 0.00034230492368556855</w:t>
      </w:r>
    </w:p>
    <w:p w:rsidR="00FE3194" w:rsidRPr="00FE3194" w:rsidRDefault="00FE3194" w:rsidP="00EE189B">
      <w:pPr>
        <w:pStyle w:val="ListParagraph"/>
        <w:spacing w:line="240" w:lineRule="auto"/>
        <w:ind w:left="360" w:firstLine="576"/>
        <w:rPr>
          <w:lang w:val="en"/>
        </w:rPr>
      </w:pPr>
      <w:r w:rsidRPr="00FE3194">
        <w:rPr>
          <w:lang w:val="en"/>
        </w:rPr>
        <w:t>Average Daily Return of BenchMark : 0.00010006911696834135</w:t>
      </w:r>
    </w:p>
    <w:p w:rsidR="00FE3194" w:rsidRPr="00FE3194" w:rsidRDefault="00FE3194" w:rsidP="00EE189B">
      <w:pPr>
        <w:pStyle w:val="ListParagraph"/>
        <w:spacing w:line="240" w:lineRule="auto"/>
        <w:ind w:left="360" w:firstLine="576"/>
        <w:rPr>
          <w:lang w:val="en"/>
        </w:rPr>
      </w:pPr>
    </w:p>
    <w:p w:rsidR="00FE3194" w:rsidRPr="00FE3194" w:rsidRDefault="00FE3194" w:rsidP="00EE189B">
      <w:pPr>
        <w:pStyle w:val="ListParagraph"/>
        <w:spacing w:line="240" w:lineRule="auto"/>
        <w:ind w:left="360" w:firstLine="576"/>
        <w:rPr>
          <w:lang w:val="en"/>
        </w:rPr>
      </w:pPr>
      <w:r w:rsidRPr="00FE3194">
        <w:rPr>
          <w:lang w:val="en"/>
        </w:rPr>
        <w:lastRenderedPageBreak/>
        <w:t>Final Portfolio Value of ManualPortfolio: 117764.0</w:t>
      </w:r>
    </w:p>
    <w:p w:rsidR="00631620" w:rsidRDefault="00FE3194" w:rsidP="00EE189B">
      <w:pPr>
        <w:pStyle w:val="ListParagraph"/>
        <w:spacing w:line="240" w:lineRule="auto"/>
        <w:ind w:left="360" w:firstLine="576"/>
        <w:rPr>
          <w:lang w:val="en"/>
        </w:rPr>
      </w:pPr>
      <w:r w:rsidRPr="00FE3194">
        <w:rPr>
          <w:lang w:val="en"/>
        </w:rPr>
        <w:t>Final Portfolio Value of BenchMark: 103164.0</w:t>
      </w:r>
    </w:p>
    <w:p w:rsidR="003018FC" w:rsidRPr="003018FC" w:rsidRDefault="003018FC" w:rsidP="003018FC">
      <w:pPr>
        <w:pStyle w:val="Heading1"/>
      </w:pPr>
      <w:r>
        <w:t xml:space="preserve">Part 4. </w:t>
      </w:r>
      <w:r w:rsidRPr="003018FC">
        <w:t>ML Trader</w:t>
      </w:r>
    </w:p>
    <w:p w:rsidR="00631620" w:rsidRDefault="00A26149" w:rsidP="00E40C64">
      <w:pPr>
        <w:rPr>
          <w:lang w:val="en"/>
        </w:rPr>
      </w:pPr>
      <w:r>
        <w:rPr>
          <w:lang w:val="en"/>
        </w:rPr>
        <w:t>4.1 Machine learning model</w:t>
      </w:r>
    </w:p>
    <w:p w:rsidR="00A26149" w:rsidRDefault="00A26149" w:rsidP="00E40C64">
      <w:pPr>
        <w:rPr>
          <w:lang w:val="en"/>
        </w:rPr>
      </w:pPr>
      <w:r>
        <w:rPr>
          <w:lang w:val="en"/>
        </w:rPr>
        <w:t xml:space="preserve">The classification is implemented based on Decision Tree.  The features are </w:t>
      </w:r>
      <w:r w:rsidRPr="00A26149">
        <w:rPr>
          <w:lang w:val="en"/>
        </w:rPr>
        <w:t>ROC_5, RSI_14 and MA_5_diff_15</w:t>
      </w:r>
      <w:r>
        <w:rPr>
          <w:lang w:val="en"/>
        </w:rPr>
        <w:t>. Before we train the model, we normalize the features with the following methods:</w:t>
      </w:r>
    </w:p>
    <w:p w:rsidR="00A26149" w:rsidRPr="00A26149" w:rsidRDefault="00A26149" w:rsidP="00E40C64">
      <w:pPr>
        <w:rPr>
          <w:lang w:val="en"/>
        </w:rPr>
      </w:pPr>
      <m:oMathPara>
        <m:oMath>
          <m:r>
            <w:rPr>
              <w:rFonts w:ascii="Cambria Math" w:hAnsi="Cambria Math"/>
              <w:lang w:val="en"/>
            </w:rPr>
            <m:t xml:space="preserve">z= </m:t>
          </m:r>
          <m:f>
            <m:fPr>
              <m:ctrlPr>
                <w:rPr>
                  <w:rFonts w:ascii="Cambria Math" w:hAnsi="Cambria Math"/>
                  <w:i/>
                  <w:lang w:val="en"/>
                </w:rPr>
              </m:ctrlPr>
            </m:fPr>
            <m:num>
              <m:r>
                <w:rPr>
                  <w:rFonts w:ascii="Cambria Math" w:hAnsi="Cambria Math"/>
                  <w:lang w:val="en"/>
                </w:rPr>
                <m:t xml:space="preserve">x-μ </m:t>
              </m:r>
            </m:num>
            <m:den>
              <m:r>
                <w:rPr>
                  <w:rFonts w:ascii="Cambria Math" w:hAnsi="Cambria Math"/>
                  <w:lang w:val="en"/>
                </w:rPr>
                <m:t>σ</m:t>
              </m:r>
            </m:den>
          </m:f>
        </m:oMath>
      </m:oMathPara>
    </w:p>
    <w:p w:rsidR="00A26149" w:rsidRDefault="00A26149" w:rsidP="00E40C64">
      <w:pPr>
        <w:rPr>
          <w:lang w:val="en"/>
        </w:rPr>
      </w:pPr>
      <w:r>
        <w:rPr>
          <w:lang w:val="en"/>
        </w:rPr>
        <w:t>And we label the data with the following rule:</w:t>
      </w:r>
    </w:p>
    <w:p w:rsidR="009A2A6B" w:rsidRDefault="009A2A6B" w:rsidP="00E40C64">
      <w:pPr>
        <w:rPr>
          <w:lang w:val="en"/>
        </w:rPr>
      </w:pPr>
      <w:r>
        <w:rPr>
          <w:lang w:val="en"/>
        </w:rPr>
        <w:t>We first labeled in the following rule, if the stock drop more than 15% after 21 holding days, we labeled it as -1. If the stock’s return more than 15% after 21 holding days, we labeled it as 1.</w:t>
      </w:r>
    </w:p>
    <w:p w:rsidR="00B668D3" w:rsidRDefault="00B668D3" w:rsidP="00E40C64">
      <w:pPr>
        <w:rPr>
          <w:lang w:val="en"/>
        </w:rPr>
      </w:pPr>
      <w:r>
        <w:rPr>
          <w:lang w:val="en"/>
        </w:rPr>
        <w:t>We build a decision tree with RTLearner.py, the number of leaf is 5. We trained decision tree with the normalized data. After training the model, we can get the predicted label. If the predicted label is &lt; 0, we label as -1. If the predicted label is &gt; 0, we label as 1.</w:t>
      </w:r>
    </w:p>
    <w:p w:rsidR="00871396" w:rsidRDefault="00871396" w:rsidP="00E40C64">
      <w:pPr>
        <w:rPr>
          <w:lang w:val="en"/>
        </w:rPr>
      </w:pPr>
    </w:p>
    <w:p w:rsidR="009A2A6B" w:rsidRDefault="00871396" w:rsidP="00E40C64">
      <w:pPr>
        <w:rPr>
          <w:lang w:val="en"/>
        </w:rPr>
      </w:pPr>
      <w:r>
        <w:rPr>
          <w:lang w:val="en"/>
        </w:rPr>
        <w:t xml:space="preserve">4.2 </w:t>
      </w:r>
      <w:r w:rsidR="009A2A6B">
        <w:rPr>
          <w:lang w:val="en"/>
        </w:rPr>
        <w:t>Model tweak:</w:t>
      </w:r>
    </w:p>
    <w:p w:rsidR="00C30804" w:rsidRPr="00C30804" w:rsidRDefault="00C30804" w:rsidP="00E40C64">
      <w:pPr>
        <w:rPr>
          <w:b/>
          <w:lang w:val="en"/>
        </w:rPr>
      </w:pPr>
      <w:r w:rsidRPr="00C30804">
        <w:rPr>
          <w:b/>
          <w:lang w:val="en"/>
        </w:rPr>
        <w:t>Note:</w:t>
      </w:r>
      <w:r>
        <w:rPr>
          <w:b/>
          <w:lang w:val="en"/>
        </w:rPr>
        <w:t xml:space="preserve"> The result may change, since the tree is split randomly.</w:t>
      </w:r>
      <w:r w:rsidR="00C54105">
        <w:rPr>
          <w:b/>
          <w:lang w:val="en"/>
        </w:rPr>
        <w:t xml:space="preserve"> Set random seed </w:t>
      </w:r>
      <w:r w:rsidR="00C54105" w:rsidRPr="00C54105">
        <w:rPr>
          <w:b/>
          <w:lang w:val="en"/>
        </w:rPr>
        <w:t>np.random.seed(4102017)</w:t>
      </w:r>
    </w:p>
    <w:p w:rsidR="00871396" w:rsidRDefault="00871396" w:rsidP="00E40C64">
      <w:pPr>
        <w:rPr>
          <w:lang w:val="en"/>
        </w:rPr>
      </w:pPr>
      <w:r>
        <w:rPr>
          <w:lang w:val="en"/>
        </w:rPr>
        <w:t xml:space="preserve">When leaf = 5, </w:t>
      </w:r>
    </w:p>
    <w:p w:rsidR="009A2A6B" w:rsidRDefault="00871396" w:rsidP="00E40C64">
      <w:pPr>
        <w:rPr>
          <w:lang w:val="en"/>
        </w:rPr>
      </w:pPr>
      <w:r>
        <w:rPr>
          <w:lang w:val="en"/>
        </w:rPr>
        <w:t>Bound is 15%</w:t>
      </w:r>
      <w:r w:rsidR="009A2A6B">
        <w:rPr>
          <w:lang w:val="en"/>
        </w:rPr>
        <w:t xml:space="preserve">, </w:t>
      </w:r>
      <w:r w:rsidR="00C54105" w:rsidRPr="00C54105">
        <w:rPr>
          <w:lang w:val="en"/>
        </w:rPr>
        <w:t>Final Portfolio Value of MachinePortfolio: 143802.0</w:t>
      </w:r>
      <w:r w:rsidR="0009026F">
        <w:rPr>
          <w:lang w:val="en"/>
        </w:rPr>
        <w:t>.</w:t>
      </w:r>
    </w:p>
    <w:p w:rsidR="009A2A6B" w:rsidRDefault="009A2A6B" w:rsidP="00E40C64">
      <w:pPr>
        <w:rPr>
          <w:lang w:val="en"/>
        </w:rPr>
      </w:pPr>
      <w:r>
        <w:rPr>
          <w:lang w:val="en"/>
        </w:rPr>
        <w:t xml:space="preserve">We adjusted the bound as 12%: </w:t>
      </w:r>
      <w:r w:rsidR="00C54105" w:rsidRPr="00C54105">
        <w:rPr>
          <w:lang w:val="en"/>
        </w:rPr>
        <w:t>Final Portfolio Value of MachinePortfolio: 134490.0</w:t>
      </w:r>
    </w:p>
    <w:p w:rsidR="009A2A6B" w:rsidRDefault="00C54105" w:rsidP="00E40C64">
      <w:pPr>
        <w:rPr>
          <w:lang w:val="en"/>
        </w:rPr>
      </w:pPr>
      <w:r>
        <w:rPr>
          <w:lang w:val="en"/>
        </w:rPr>
        <w:t>We adjusted the bound as 17</w:t>
      </w:r>
      <w:r w:rsidR="00B668D3">
        <w:rPr>
          <w:lang w:val="en"/>
        </w:rPr>
        <w:t>%:</w:t>
      </w:r>
      <w:r w:rsidR="00B668D3">
        <w:rPr>
          <w:lang w:val="en"/>
        </w:rPr>
        <w:t xml:space="preserve"> </w:t>
      </w:r>
      <w:r w:rsidR="00EB2A45" w:rsidRPr="00EB2A45">
        <w:rPr>
          <w:lang w:val="en"/>
        </w:rPr>
        <w:t>Final Portfolio Value of MachinePortfolio: 146492.0</w:t>
      </w:r>
    </w:p>
    <w:p w:rsidR="00871396" w:rsidRDefault="00871396" w:rsidP="00E40C64">
      <w:pPr>
        <w:rPr>
          <w:lang w:val="en"/>
        </w:rPr>
      </w:pPr>
      <w:r>
        <w:rPr>
          <w:lang w:val="en"/>
        </w:rPr>
        <w:t xml:space="preserve">When </w:t>
      </w:r>
      <w:r w:rsidR="00EB2A45">
        <w:rPr>
          <w:lang w:val="en"/>
        </w:rPr>
        <w:t>Bound is 17</w:t>
      </w:r>
      <w:r>
        <w:rPr>
          <w:lang w:val="en"/>
        </w:rPr>
        <w:t>%,</w:t>
      </w:r>
    </w:p>
    <w:p w:rsidR="00871396" w:rsidRDefault="00871396" w:rsidP="00871396">
      <w:pPr>
        <w:rPr>
          <w:lang w:val="en"/>
        </w:rPr>
      </w:pPr>
      <w:r>
        <w:rPr>
          <w:lang w:val="en"/>
        </w:rPr>
        <w:t xml:space="preserve">Leaf = 7, </w:t>
      </w:r>
      <w:r w:rsidR="00EB2A45" w:rsidRPr="00EB2A45">
        <w:rPr>
          <w:lang w:val="en"/>
        </w:rPr>
        <w:t>Final Portfolio Value of MachinePortfolio: 142346.0</w:t>
      </w:r>
    </w:p>
    <w:p w:rsidR="00871396" w:rsidRDefault="00871396" w:rsidP="00871396">
      <w:pPr>
        <w:rPr>
          <w:lang w:val="en"/>
        </w:rPr>
      </w:pPr>
      <w:r>
        <w:rPr>
          <w:lang w:val="en"/>
        </w:rPr>
        <w:t xml:space="preserve">Leaf = 10, </w:t>
      </w:r>
      <w:r w:rsidR="00EB2A45" w:rsidRPr="00EB2A45">
        <w:rPr>
          <w:lang w:val="en"/>
        </w:rPr>
        <w:t>Final Portfolio Value of MachinePortfolio: 124754.0</w:t>
      </w:r>
    </w:p>
    <w:p w:rsidR="00FB0B3B" w:rsidRDefault="00871396" w:rsidP="00871396">
      <w:pPr>
        <w:rPr>
          <w:lang w:val="en"/>
        </w:rPr>
      </w:pPr>
      <w:r>
        <w:rPr>
          <w:lang w:val="en"/>
        </w:rPr>
        <w:t>Finally</w:t>
      </w:r>
      <w:r w:rsidR="00EB2A45">
        <w:rPr>
          <w:lang w:val="en"/>
        </w:rPr>
        <w:t>, we choose Leaf = 5, bound = 17</w:t>
      </w:r>
      <w:r>
        <w:rPr>
          <w:lang w:val="en"/>
        </w:rPr>
        <w:t>%.</w:t>
      </w:r>
    </w:p>
    <w:p w:rsidR="00EE189B" w:rsidRDefault="00EE189B" w:rsidP="00871396">
      <w:pPr>
        <w:rPr>
          <w:lang w:val="en"/>
        </w:rPr>
      </w:pPr>
      <w:r>
        <w:rPr>
          <w:lang w:val="en"/>
        </w:rPr>
        <w:t>4.3 Figure</w:t>
      </w:r>
    </w:p>
    <w:p w:rsidR="00FB0B3B" w:rsidRDefault="00BC56E1" w:rsidP="00FB0B3B">
      <w:pPr>
        <w:jc w:val="center"/>
        <w:rPr>
          <w:rFonts w:ascii="Arial" w:hAnsi="Arial" w:cs="Arial"/>
          <w:sz w:val="20"/>
          <w:szCs w:val="20"/>
        </w:rPr>
      </w:pPr>
      <w:r>
        <w:rPr>
          <w:noProof/>
        </w:rPr>
        <w:lastRenderedPageBreak/>
        <w:drawing>
          <wp:inline distT="0" distB="0" distL="0" distR="0">
            <wp:extent cx="3733800" cy="2800350"/>
            <wp:effectExtent l="0" t="0" r="0" b="0"/>
            <wp:docPr id="14" name="Picture 14" descr="C:\Users\vodkabuaa\AppData\Local\Microsoft\Windows\INetCache\Content.Word\bench_Manual_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odkabuaa\AppData\Local\Microsoft\Windows\INetCache\Content.Word\bench_Manual_Mach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r w:rsidR="00FB0B3B" w:rsidRPr="00FB0B3B">
        <w:rPr>
          <w:rFonts w:ascii="Arial" w:hAnsi="Arial" w:cs="Arial"/>
          <w:sz w:val="20"/>
          <w:szCs w:val="20"/>
        </w:rPr>
        <w:t xml:space="preserve"> </w:t>
      </w:r>
    </w:p>
    <w:p w:rsidR="00EE189B" w:rsidRDefault="00FB0B3B" w:rsidP="00FB0B3B">
      <w:pPr>
        <w:jc w:val="center"/>
        <w:rPr>
          <w:rFonts w:ascii="Arial" w:hAnsi="Arial" w:cs="Arial"/>
          <w:sz w:val="20"/>
          <w:szCs w:val="20"/>
        </w:rPr>
      </w:pPr>
      <w:r>
        <w:rPr>
          <w:rFonts w:ascii="Arial" w:hAnsi="Arial" w:cs="Arial"/>
          <w:sz w:val="20"/>
          <w:szCs w:val="20"/>
        </w:rPr>
        <w:t xml:space="preserve">Figure </w:t>
      </w:r>
      <w:r>
        <w:rPr>
          <w:rFonts w:ascii="Arial" w:hAnsi="Arial" w:cs="Arial"/>
          <w:sz w:val="20"/>
          <w:szCs w:val="20"/>
        </w:rPr>
        <w:t>6</w:t>
      </w:r>
      <w:r>
        <w:rPr>
          <w:rFonts w:ascii="Arial" w:hAnsi="Arial" w:cs="Arial"/>
          <w:sz w:val="20"/>
          <w:szCs w:val="20"/>
        </w:rPr>
        <w:t xml:space="preserve">. </w:t>
      </w:r>
      <w:r>
        <w:rPr>
          <w:rFonts w:ascii="Arial" w:hAnsi="Arial" w:cs="Arial"/>
          <w:sz w:val="20"/>
          <w:szCs w:val="20"/>
        </w:rPr>
        <w:t xml:space="preserve">Machine Learning vs </w:t>
      </w:r>
      <w:r>
        <w:rPr>
          <w:rFonts w:ascii="Arial" w:hAnsi="Arial" w:cs="Arial"/>
          <w:sz w:val="20"/>
          <w:szCs w:val="20"/>
        </w:rPr>
        <w:t>Manual Strategy vs Benchmark</w:t>
      </w:r>
    </w:p>
    <w:p w:rsidR="00FB0B3B" w:rsidRPr="00FC4E83" w:rsidRDefault="00EE189B" w:rsidP="00FB0B3B">
      <w:pPr>
        <w:jc w:val="center"/>
        <w:rPr>
          <w:lang w:val="en"/>
        </w:rPr>
      </w:pPr>
      <w:r>
        <w:rPr>
          <w:rFonts w:ascii="Arial" w:hAnsi="Arial" w:cs="Arial"/>
          <w:sz w:val="20"/>
          <w:szCs w:val="20"/>
        </w:rPr>
        <w:t>(Leaf = 5, long_bound</w:t>
      </w:r>
      <w:r w:rsidR="00BC56E1">
        <w:rPr>
          <w:rFonts w:ascii="Arial" w:hAnsi="Arial" w:cs="Arial"/>
          <w:sz w:val="20"/>
          <w:szCs w:val="20"/>
        </w:rPr>
        <w:t xml:space="preserve"> = 17</w:t>
      </w:r>
      <w:r>
        <w:rPr>
          <w:rFonts w:ascii="Arial" w:hAnsi="Arial" w:cs="Arial"/>
          <w:sz w:val="20"/>
          <w:szCs w:val="20"/>
        </w:rPr>
        <w:t>%</w:t>
      </w:r>
      <w:r w:rsidR="00BC56E1">
        <w:rPr>
          <w:rFonts w:ascii="Arial" w:hAnsi="Arial" w:cs="Arial"/>
          <w:sz w:val="20"/>
          <w:szCs w:val="20"/>
        </w:rPr>
        <w:t>, short_bound=-17</w:t>
      </w:r>
      <w:r>
        <w:rPr>
          <w:rFonts w:ascii="Arial" w:hAnsi="Arial" w:cs="Arial"/>
          <w:sz w:val="20"/>
          <w:szCs w:val="20"/>
        </w:rPr>
        <w:t>%)</w:t>
      </w:r>
    </w:p>
    <w:p w:rsidR="00A26149" w:rsidRDefault="00EE189B" w:rsidP="00E40C64">
      <w:pPr>
        <w:rPr>
          <w:lang w:val="en"/>
        </w:rPr>
      </w:pPr>
      <w:r>
        <w:rPr>
          <w:lang w:val="en"/>
        </w:rPr>
        <w:t>4.4 Performance</w:t>
      </w:r>
    </w:p>
    <w:p w:rsidR="00BC56E1" w:rsidRPr="00BC56E1" w:rsidRDefault="00BC56E1" w:rsidP="00BC56E1">
      <w:pPr>
        <w:pStyle w:val="ListParagraph"/>
        <w:spacing w:line="240" w:lineRule="auto"/>
        <w:ind w:left="360" w:firstLine="576"/>
        <w:rPr>
          <w:lang w:val="en"/>
        </w:rPr>
      </w:pPr>
      <w:r w:rsidRPr="00BC56E1">
        <w:rPr>
          <w:lang w:val="en"/>
        </w:rPr>
        <w:t>Date Range: 2008-01-02 00:00:00 to 2009-12-31 00:00:00</w:t>
      </w:r>
    </w:p>
    <w:p w:rsidR="00BC56E1" w:rsidRPr="00BC56E1" w:rsidRDefault="00BC56E1" w:rsidP="00BC56E1">
      <w:pPr>
        <w:pStyle w:val="ListParagraph"/>
        <w:spacing w:line="240" w:lineRule="auto"/>
        <w:ind w:left="360" w:firstLine="576"/>
        <w:rPr>
          <w:lang w:val="en"/>
        </w:rPr>
      </w:pPr>
    </w:p>
    <w:p w:rsidR="00BC56E1" w:rsidRPr="00BC56E1" w:rsidRDefault="00BC56E1" w:rsidP="00BC56E1">
      <w:pPr>
        <w:pStyle w:val="ListParagraph"/>
        <w:spacing w:line="240" w:lineRule="auto"/>
        <w:ind w:left="360" w:firstLine="576"/>
        <w:rPr>
          <w:lang w:val="en"/>
        </w:rPr>
      </w:pPr>
      <w:r w:rsidRPr="00BC56E1">
        <w:rPr>
          <w:lang w:val="en"/>
        </w:rPr>
        <w:t>Cumulative Return of MachinePortfolio: 0.46492</w:t>
      </w:r>
    </w:p>
    <w:p w:rsidR="00BC56E1" w:rsidRPr="00BC56E1" w:rsidRDefault="00BC56E1" w:rsidP="00BC56E1">
      <w:pPr>
        <w:pStyle w:val="ListParagraph"/>
        <w:spacing w:line="240" w:lineRule="auto"/>
        <w:ind w:left="360" w:firstLine="576"/>
        <w:rPr>
          <w:lang w:val="en"/>
        </w:rPr>
      </w:pPr>
      <w:r w:rsidRPr="00BC56E1">
        <w:rPr>
          <w:lang w:val="en"/>
        </w:rPr>
        <w:t>Cumulative Return of ManualPortfolio: 0.17764</w:t>
      </w:r>
    </w:p>
    <w:p w:rsidR="00BC56E1" w:rsidRPr="00BC56E1" w:rsidRDefault="00BC56E1" w:rsidP="00BC56E1">
      <w:pPr>
        <w:pStyle w:val="ListParagraph"/>
        <w:spacing w:line="240" w:lineRule="auto"/>
        <w:ind w:left="360" w:firstLine="576"/>
        <w:rPr>
          <w:lang w:val="en"/>
        </w:rPr>
      </w:pPr>
      <w:r w:rsidRPr="00BC56E1">
        <w:rPr>
          <w:lang w:val="en"/>
        </w:rPr>
        <w:t>Cumulative Return of BenchMark : 0.03164</w:t>
      </w:r>
    </w:p>
    <w:p w:rsidR="00BC56E1" w:rsidRPr="00BC56E1" w:rsidRDefault="00BC56E1" w:rsidP="00BC56E1">
      <w:pPr>
        <w:pStyle w:val="ListParagraph"/>
        <w:spacing w:line="240" w:lineRule="auto"/>
        <w:ind w:left="360" w:firstLine="576"/>
        <w:rPr>
          <w:lang w:val="en"/>
        </w:rPr>
      </w:pPr>
    </w:p>
    <w:p w:rsidR="00BC56E1" w:rsidRPr="00BC56E1" w:rsidRDefault="00BC56E1" w:rsidP="00BC56E1">
      <w:pPr>
        <w:pStyle w:val="ListParagraph"/>
        <w:spacing w:line="240" w:lineRule="auto"/>
        <w:ind w:left="360" w:firstLine="576"/>
        <w:rPr>
          <w:lang w:val="en"/>
        </w:rPr>
      </w:pPr>
      <w:r w:rsidRPr="00BC56E1">
        <w:rPr>
          <w:lang w:val="en"/>
        </w:rPr>
        <w:t>Standard Deviation of MachinePortfolio: 0.005593637429768362</w:t>
      </w:r>
    </w:p>
    <w:p w:rsidR="00BC56E1" w:rsidRPr="00BC56E1" w:rsidRDefault="00BC56E1" w:rsidP="00BC56E1">
      <w:pPr>
        <w:pStyle w:val="ListParagraph"/>
        <w:spacing w:line="240" w:lineRule="auto"/>
        <w:ind w:left="360" w:firstLine="576"/>
        <w:rPr>
          <w:lang w:val="en"/>
        </w:rPr>
      </w:pPr>
      <w:r w:rsidRPr="00BC56E1">
        <w:rPr>
          <w:lang w:val="en"/>
        </w:rPr>
        <w:t>Standard Deviation of ManualPortfolio: 0.005983279945156924</w:t>
      </w:r>
    </w:p>
    <w:p w:rsidR="00BC56E1" w:rsidRPr="00BC56E1" w:rsidRDefault="00BC56E1" w:rsidP="00BC56E1">
      <w:pPr>
        <w:pStyle w:val="ListParagraph"/>
        <w:spacing w:line="240" w:lineRule="auto"/>
        <w:ind w:left="360" w:firstLine="576"/>
        <w:rPr>
          <w:lang w:val="en"/>
        </w:rPr>
      </w:pPr>
      <w:r w:rsidRPr="00BC56E1">
        <w:rPr>
          <w:lang w:val="en"/>
        </w:rPr>
        <w:t>Standard Deviation of BenchMark : 0.008740537520147718</w:t>
      </w:r>
    </w:p>
    <w:p w:rsidR="00BC56E1" w:rsidRPr="00BC56E1" w:rsidRDefault="00BC56E1" w:rsidP="00BC56E1">
      <w:pPr>
        <w:pStyle w:val="ListParagraph"/>
        <w:spacing w:line="240" w:lineRule="auto"/>
        <w:ind w:left="360" w:firstLine="576"/>
        <w:rPr>
          <w:lang w:val="en"/>
        </w:rPr>
      </w:pPr>
    </w:p>
    <w:p w:rsidR="00BC56E1" w:rsidRPr="00BC56E1" w:rsidRDefault="00BC56E1" w:rsidP="00BC56E1">
      <w:pPr>
        <w:pStyle w:val="ListParagraph"/>
        <w:spacing w:line="240" w:lineRule="auto"/>
        <w:ind w:left="360" w:firstLine="576"/>
        <w:rPr>
          <w:lang w:val="en"/>
        </w:rPr>
      </w:pPr>
      <w:r w:rsidRPr="00BC56E1">
        <w:rPr>
          <w:lang w:val="en"/>
        </w:rPr>
        <w:t>Average Daily Return of MachinePortfolio: 0.0007734095333034427</w:t>
      </w:r>
    </w:p>
    <w:p w:rsidR="00BC56E1" w:rsidRPr="00BC56E1" w:rsidRDefault="00BC56E1" w:rsidP="00BC56E1">
      <w:pPr>
        <w:pStyle w:val="ListParagraph"/>
        <w:spacing w:line="240" w:lineRule="auto"/>
        <w:ind w:left="360" w:firstLine="576"/>
        <w:rPr>
          <w:lang w:val="en"/>
        </w:rPr>
      </w:pPr>
      <w:r w:rsidRPr="00BC56E1">
        <w:rPr>
          <w:lang w:val="en"/>
        </w:rPr>
        <w:t>Average Daily Return of ManualPortfolio: 0.00034230492368556855</w:t>
      </w:r>
    </w:p>
    <w:p w:rsidR="00BC56E1" w:rsidRPr="00BC56E1" w:rsidRDefault="00BC56E1" w:rsidP="00BC56E1">
      <w:pPr>
        <w:pStyle w:val="ListParagraph"/>
        <w:spacing w:line="240" w:lineRule="auto"/>
        <w:ind w:left="360" w:firstLine="576"/>
        <w:rPr>
          <w:lang w:val="en"/>
        </w:rPr>
      </w:pPr>
      <w:r w:rsidRPr="00BC56E1">
        <w:rPr>
          <w:lang w:val="en"/>
        </w:rPr>
        <w:t>Average Daily Return of BenchMark : 0.00010006911696834135</w:t>
      </w:r>
    </w:p>
    <w:p w:rsidR="00BC56E1" w:rsidRPr="00BC56E1" w:rsidRDefault="00BC56E1" w:rsidP="00BC56E1">
      <w:pPr>
        <w:pStyle w:val="ListParagraph"/>
        <w:spacing w:line="240" w:lineRule="auto"/>
        <w:ind w:left="360" w:firstLine="576"/>
        <w:rPr>
          <w:lang w:val="en"/>
        </w:rPr>
      </w:pPr>
    </w:p>
    <w:p w:rsidR="00BC56E1" w:rsidRPr="00BC56E1" w:rsidRDefault="00BC56E1" w:rsidP="00BC56E1">
      <w:pPr>
        <w:pStyle w:val="ListParagraph"/>
        <w:spacing w:line="240" w:lineRule="auto"/>
        <w:ind w:left="360" w:firstLine="576"/>
        <w:rPr>
          <w:lang w:val="en"/>
        </w:rPr>
      </w:pPr>
      <w:r w:rsidRPr="00BC56E1">
        <w:rPr>
          <w:lang w:val="en"/>
        </w:rPr>
        <w:t>Final Portfolio Value of MachinePortfolio: 146492.0</w:t>
      </w:r>
    </w:p>
    <w:p w:rsidR="00BC56E1" w:rsidRPr="00BC56E1" w:rsidRDefault="00BC56E1" w:rsidP="00BC56E1">
      <w:pPr>
        <w:pStyle w:val="ListParagraph"/>
        <w:spacing w:line="240" w:lineRule="auto"/>
        <w:ind w:left="360" w:firstLine="576"/>
        <w:rPr>
          <w:lang w:val="en"/>
        </w:rPr>
      </w:pPr>
      <w:r w:rsidRPr="00BC56E1">
        <w:rPr>
          <w:lang w:val="en"/>
        </w:rPr>
        <w:t>Final Portfolio Value of ManualPortfolio: 117764.0</w:t>
      </w:r>
    </w:p>
    <w:p w:rsidR="00BC56E1" w:rsidRDefault="00BC56E1" w:rsidP="00BC56E1">
      <w:pPr>
        <w:pStyle w:val="ListParagraph"/>
        <w:spacing w:line="240" w:lineRule="auto"/>
        <w:ind w:left="360" w:firstLine="576"/>
        <w:rPr>
          <w:lang w:val="en"/>
        </w:rPr>
      </w:pPr>
      <w:r w:rsidRPr="00BC56E1">
        <w:rPr>
          <w:lang w:val="en"/>
        </w:rPr>
        <w:t>Final Portfolio Value of BenchMark: 103164.0</w:t>
      </w:r>
    </w:p>
    <w:p w:rsidR="00EE189B" w:rsidRDefault="00EE189B" w:rsidP="00BC56E1">
      <w:pPr>
        <w:pStyle w:val="Heading1"/>
      </w:pPr>
      <w:r>
        <w:t>Part 5</w:t>
      </w:r>
      <w:r>
        <w:t xml:space="preserve">. </w:t>
      </w:r>
      <w:r w:rsidRPr="00EE189B">
        <w:t>Visualization of data</w:t>
      </w:r>
    </w:p>
    <w:p w:rsidR="006A38D8" w:rsidRPr="006A38D8" w:rsidRDefault="006A38D8" w:rsidP="006A38D8">
      <w:r>
        <w:t>The features we selected is RSI_14 and ROC_5</w:t>
      </w:r>
    </w:p>
    <w:p w:rsidR="00EE189B" w:rsidRDefault="006A38D8" w:rsidP="006A38D8">
      <w:pPr>
        <w:spacing w:line="240" w:lineRule="auto"/>
        <w:jc w:val="center"/>
        <w:rPr>
          <w:lang w:val="en"/>
        </w:rPr>
      </w:pPr>
      <w:r>
        <w:rPr>
          <w:noProof/>
        </w:rPr>
        <w:lastRenderedPageBreak/>
        <w:drawing>
          <wp:inline distT="0" distB="0" distL="0" distR="0">
            <wp:extent cx="3398058" cy="2336165"/>
            <wp:effectExtent l="0" t="0" r="0" b="6985"/>
            <wp:docPr id="11" name="Picture 11" descr="C:\Users\vodkabuaa\AppData\Local\Microsoft\Windows\INetCache\Content.Word\manual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odkabuaa\AppData\Local\Microsoft\Windows\INetCache\Content.Word\manual_scat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7342" cy="2342548"/>
                    </a:xfrm>
                    <a:prstGeom prst="rect">
                      <a:avLst/>
                    </a:prstGeom>
                    <a:noFill/>
                    <a:ln>
                      <a:noFill/>
                    </a:ln>
                  </pic:spPr>
                </pic:pic>
              </a:graphicData>
            </a:graphic>
          </wp:inline>
        </w:drawing>
      </w:r>
    </w:p>
    <w:p w:rsidR="006A38D8" w:rsidRDefault="006A38D8" w:rsidP="006A38D8">
      <w:pPr>
        <w:spacing w:line="240" w:lineRule="auto"/>
        <w:jc w:val="center"/>
        <w:rPr>
          <w:rFonts w:ascii="Arial" w:hAnsi="Arial" w:cs="Arial"/>
          <w:sz w:val="20"/>
          <w:szCs w:val="20"/>
        </w:rPr>
      </w:pPr>
      <w:r>
        <w:rPr>
          <w:rFonts w:ascii="Arial" w:hAnsi="Arial" w:cs="Arial"/>
          <w:sz w:val="20"/>
          <w:szCs w:val="20"/>
        </w:rPr>
        <w:t xml:space="preserve">Figure </w:t>
      </w:r>
      <w:r>
        <w:rPr>
          <w:rFonts w:ascii="Arial" w:hAnsi="Arial" w:cs="Arial"/>
          <w:sz w:val="20"/>
          <w:szCs w:val="20"/>
        </w:rPr>
        <w:t>7</w:t>
      </w:r>
      <w:r>
        <w:rPr>
          <w:rFonts w:ascii="Arial" w:hAnsi="Arial" w:cs="Arial"/>
          <w:sz w:val="20"/>
          <w:szCs w:val="20"/>
        </w:rPr>
        <w:t xml:space="preserve">. </w:t>
      </w:r>
      <w:r>
        <w:rPr>
          <w:rFonts w:ascii="Arial" w:hAnsi="Arial" w:cs="Arial"/>
          <w:sz w:val="20"/>
          <w:szCs w:val="20"/>
        </w:rPr>
        <w:t>Manual Strat Scatter</w:t>
      </w:r>
    </w:p>
    <w:p w:rsidR="006A38D8" w:rsidRDefault="004161FB" w:rsidP="004161FB">
      <w:pPr>
        <w:spacing w:line="240" w:lineRule="auto"/>
      </w:pPr>
      <w:r>
        <w:rPr>
          <w:noProof/>
        </w:rPr>
        <w:drawing>
          <wp:inline distT="0" distB="0" distL="0" distR="0">
            <wp:extent cx="2778240" cy="1910040"/>
            <wp:effectExtent l="0" t="0" r="0" b="0"/>
            <wp:docPr id="12" name="Picture 12" descr="C:\Users\vodkabuaa\AppData\Local\Microsoft\Windows\INetCache\Content.Word\machine_before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odkabuaa\AppData\Local\Microsoft\Windows\INetCache\Content.Word\machine_before_scat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887" cy="1918047"/>
                    </a:xfrm>
                    <a:prstGeom prst="rect">
                      <a:avLst/>
                    </a:prstGeom>
                    <a:noFill/>
                    <a:ln>
                      <a:noFill/>
                    </a:ln>
                  </pic:spPr>
                </pic:pic>
              </a:graphicData>
            </a:graphic>
          </wp:inline>
        </w:drawing>
      </w:r>
      <w:r w:rsidRPr="004161FB">
        <w:t xml:space="preserve"> </w:t>
      </w:r>
      <w:r>
        <w:rPr>
          <w:noProof/>
        </w:rPr>
        <w:drawing>
          <wp:inline distT="0" distB="0" distL="0" distR="0">
            <wp:extent cx="2778760" cy="1910398"/>
            <wp:effectExtent l="0" t="0" r="0" b="0"/>
            <wp:docPr id="13" name="Picture 13" descr="C:\Users\vodkabuaa\AppData\Local\Microsoft\Windows\INetCache\Content.Word\machine_after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odkabuaa\AppData\Local\Microsoft\Windows\INetCache\Content.Word\machine_after_scat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699" cy="1917231"/>
                    </a:xfrm>
                    <a:prstGeom prst="rect">
                      <a:avLst/>
                    </a:prstGeom>
                    <a:noFill/>
                    <a:ln>
                      <a:noFill/>
                    </a:ln>
                  </pic:spPr>
                </pic:pic>
              </a:graphicData>
            </a:graphic>
          </wp:inline>
        </w:drawing>
      </w:r>
    </w:p>
    <w:p w:rsidR="004161FB" w:rsidRDefault="004161FB" w:rsidP="004161FB">
      <w:pPr>
        <w:spacing w:line="240" w:lineRule="auto"/>
        <w:rPr>
          <w:rFonts w:ascii="Arial" w:hAnsi="Arial" w:cs="Arial"/>
          <w:sz w:val="20"/>
          <w:szCs w:val="20"/>
        </w:rPr>
      </w:pPr>
      <w:r>
        <w:rPr>
          <w:rFonts w:ascii="Arial" w:hAnsi="Arial" w:cs="Arial"/>
          <w:sz w:val="20"/>
          <w:szCs w:val="20"/>
        </w:rPr>
        <w:t xml:space="preserve">Figure </w:t>
      </w:r>
      <w:r>
        <w:rPr>
          <w:rFonts w:ascii="Arial" w:hAnsi="Arial" w:cs="Arial"/>
          <w:sz w:val="20"/>
          <w:szCs w:val="20"/>
        </w:rPr>
        <w:t>8</w:t>
      </w:r>
      <w:r>
        <w:rPr>
          <w:rFonts w:ascii="Arial" w:hAnsi="Arial" w:cs="Arial"/>
          <w:sz w:val="20"/>
          <w:szCs w:val="20"/>
        </w:rPr>
        <w:t xml:space="preserve">.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train</w:t>
      </w:r>
      <w:r>
        <w:rPr>
          <w:rFonts w:ascii="Arial" w:hAnsi="Arial" w:cs="Arial"/>
          <w:color w:val="252525"/>
          <w:sz w:val="21"/>
          <w:szCs w:val="21"/>
          <w:shd w:val="clear" w:color="auto" w:fill="FFFFFF"/>
        </w:rPr>
        <w:t xml:space="preserve">ing data for </w:t>
      </w:r>
      <w:r>
        <w:rPr>
          <w:rFonts w:ascii="Arial" w:hAnsi="Arial" w:cs="Arial"/>
          <w:color w:val="252525"/>
          <w:sz w:val="21"/>
          <w:szCs w:val="21"/>
          <w:shd w:val="clear" w:color="auto" w:fill="FFFFFF"/>
        </w:rPr>
        <w:t xml:space="preserve"> ML strategy</w:t>
      </w:r>
      <w:r>
        <w:rPr>
          <w:rFonts w:ascii="Arial" w:hAnsi="Arial" w:cs="Arial"/>
          <w:color w:val="252525"/>
          <w:sz w:val="21"/>
          <w:szCs w:val="21"/>
          <w:shd w:val="clear" w:color="auto" w:fill="FFFFFF"/>
        </w:rPr>
        <w:t xml:space="preserve">                           </w:t>
      </w:r>
      <w:r>
        <w:rPr>
          <w:rFonts w:ascii="Arial" w:hAnsi="Arial" w:cs="Arial"/>
          <w:sz w:val="20"/>
          <w:szCs w:val="20"/>
        </w:rPr>
        <w:t xml:space="preserve">Figure </w:t>
      </w:r>
      <w:r>
        <w:rPr>
          <w:rFonts w:ascii="Arial" w:hAnsi="Arial" w:cs="Arial"/>
          <w:sz w:val="20"/>
          <w:szCs w:val="20"/>
        </w:rPr>
        <w:t>9</w:t>
      </w:r>
      <w:r>
        <w:rPr>
          <w:rFonts w:ascii="Arial" w:hAnsi="Arial" w:cs="Arial"/>
          <w:sz w:val="20"/>
          <w:szCs w:val="20"/>
        </w:rPr>
        <w:t xml:space="preserve">. </w:t>
      </w:r>
      <w:r>
        <w:rPr>
          <w:rFonts w:ascii="Arial" w:hAnsi="Arial" w:cs="Arial"/>
          <w:color w:val="252525"/>
          <w:sz w:val="21"/>
          <w:szCs w:val="21"/>
          <w:shd w:val="clear" w:color="auto" w:fill="FFFFFF"/>
        </w:rPr>
        <w:t>ML strategy</w:t>
      </w:r>
      <w:r>
        <w:rPr>
          <w:rFonts w:ascii="Arial" w:hAnsi="Arial" w:cs="Arial"/>
          <w:color w:val="252525"/>
          <w:sz w:val="21"/>
          <w:szCs w:val="21"/>
          <w:shd w:val="clear" w:color="auto" w:fill="FFFFFF"/>
        </w:rPr>
        <w:t xml:space="preserve"> after train</w:t>
      </w:r>
    </w:p>
    <w:p w:rsidR="004161FB" w:rsidRDefault="004161FB" w:rsidP="004161FB">
      <w:pPr>
        <w:spacing w:line="240" w:lineRule="auto"/>
        <w:jc w:val="center"/>
        <w:rPr>
          <w:rFonts w:ascii="Arial" w:hAnsi="Arial" w:cs="Arial"/>
          <w:sz w:val="20"/>
          <w:szCs w:val="20"/>
        </w:rPr>
      </w:pPr>
    </w:p>
    <w:p w:rsidR="00BC56E1" w:rsidRPr="00BC56E1" w:rsidRDefault="004161FB" w:rsidP="00BC56E1">
      <w:pPr>
        <w:pStyle w:val="Heading1"/>
      </w:pPr>
      <w:r>
        <w:lastRenderedPageBreak/>
        <w:t>Part 6</w:t>
      </w:r>
      <w:r>
        <w:t xml:space="preserve">. </w:t>
      </w:r>
      <w:r w:rsidR="00BC56E1" w:rsidRPr="00BC56E1">
        <w:t>Comparative Analysis</w:t>
      </w:r>
    </w:p>
    <w:p w:rsidR="004161FB" w:rsidRDefault="00ED58C7" w:rsidP="00ED58C7">
      <w:pPr>
        <w:pStyle w:val="Heading1"/>
        <w:jc w:val="center"/>
      </w:pPr>
      <w:r>
        <w:rPr>
          <w:noProof/>
        </w:rPr>
        <w:drawing>
          <wp:inline distT="0" distB="0" distL="0" distR="0">
            <wp:extent cx="3576320" cy="2682240"/>
            <wp:effectExtent l="0" t="0" r="5080" b="3810"/>
            <wp:docPr id="15" name="Picture 15" descr="C:\Users\vodkabuaa\AppData\Local\Microsoft\Windows\INetCache\Content.Word\bench_Manual_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odkabuaa\AppData\Local\Microsoft\Windows\INetCache\Content.Word\bench_Manual_Mach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6587" cy="2682440"/>
                    </a:xfrm>
                    <a:prstGeom prst="rect">
                      <a:avLst/>
                    </a:prstGeom>
                    <a:noFill/>
                    <a:ln>
                      <a:noFill/>
                    </a:ln>
                  </pic:spPr>
                </pic:pic>
              </a:graphicData>
            </a:graphic>
          </wp:inline>
        </w:drawing>
      </w:r>
    </w:p>
    <w:p w:rsidR="00ED58C7" w:rsidRDefault="00ED58C7" w:rsidP="00ED58C7">
      <w:pPr>
        <w:spacing w:line="240" w:lineRule="auto"/>
        <w:jc w:val="center"/>
        <w:rPr>
          <w:rFonts w:ascii="Arial" w:hAnsi="Arial" w:cs="Arial"/>
          <w:sz w:val="20"/>
          <w:szCs w:val="20"/>
        </w:rPr>
      </w:pPr>
      <w:r>
        <w:rPr>
          <w:rFonts w:ascii="Arial" w:hAnsi="Arial" w:cs="Arial"/>
          <w:sz w:val="20"/>
          <w:szCs w:val="20"/>
        </w:rPr>
        <w:t xml:space="preserve">Figure </w:t>
      </w:r>
      <w:r>
        <w:rPr>
          <w:rFonts w:ascii="Arial" w:hAnsi="Arial" w:cs="Arial"/>
          <w:sz w:val="20"/>
          <w:szCs w:val="20"/>
        </w:rPr>
        <w:t>10</w:t>
      </w:r>
      <w:r>
        <w:rPr>
          <w:rFonts w:ascii="Arial" w:hAnsi="Arial" w:cs="Arial"/>
          <w:sz w:val="20"/>
          <w:szCs w:val="20"/>
        </w:rPr>
        <w:t xml:space="preserve">. Manual Strat </w:t>
      </w:r>
      <w:r>
        <w:rPr>
          <w:rFonts w:ascii="Arial" w:hAnsi="Arial" w:cs="Arial"/>
          <w:sz w:val="20"/>
          <w:szCs w:val="20"/>
        </w:rPr>
        <w:t>vs Machine learning Portfolio vs Bench Mark</w:t>
      </w:r>
    </w:p>
    <w:p w:rsidR="00ED58C7" w:rsidRPr="00ED58C7" w:rsidRDefault="00ED58C7" w:rsidP="00ED58C7"/>
    <w:p w:rsidR="00ED58C7" w:rsidRDefault="00ED58C7" w:rsidP="00ED58C7">
      <w:r>
        <w:t>Performance:</w:t>
      </w:r>
    </w:p>
    <w:p w:rsidR="00ED58C7" w:rsidRDefault="00ED58C7" w:rsidP="00ED58C7"/>
    <w:p w:rsidR="00ED58C7" w:rsidRDefault="00ED58C7" w:rsidP="00ED58C7">
      <w:pPr>
        <w:pStyle w:val="ListParagraph"/>
        <w:spacing w:line="240" w:lineRule="auto"/>
        <w:ind w:left="360" w:firstLine="576"/>
        <w:rPr>
          <w:lang w:val="en"/>
        </w:rPr>
      </w:pPr>
      <w:r w:rsidRPr="00ED58C7">
        <w:rPr>
          <w:lang w:val="en"/>
        </w:rPr>
        <w:t>Date Range: 2010-01-04 00:00:00 to 2011-12-30 00:00:00</w:t>
      </w:r>
    </w:p>
    <w:p w:rsidR="00E31818" w:rsidRDefault="00E31818" w:rsidP="00ED58C7">
      <w:pPr>
        <w:pStyle w:val="ListParagraph"/>
        <w:spacing w:line="240" w:lineRule="auto"/>
        <w:ind w:left="360" w:firstLine="576"/>
        <w:rPr>
          <w:lang w:val="en"/>
        </w:rPr>
      </w:pPr>
    </w:p>
    <w:tbl>
      <w:tblPr>
        <w:tblStyle w:val="TableGrid"/>
        <w:tblW w:w="0" w:type="auto"/>
        <w:tblInd w:w="360" w:type="dxa"/>
        <w:tblLook w:val="04A0" w:firstRow="1" w:lastRow="0" w:firstColumn="1" w:lastColumn="0" w:noHBand="0" w:noVBand="1"/>
      </w:tblPr>
      <w:tblGrid>
        <w:gridCol w:w="2910"/>
        <w:gridCol w:w="3040"/>
        <w:gridCol w:w="3040"/>
      </w:tblGrid>
      <w:tr w:rsidR="00E31818" w:rsidTr="00E31818">
        <w:tc>
          <w:tcPr>
            <w:tcW w:w="3116" w:type="dxa"/>
          </w:tcPr>
          <w:p w:rsidR="00E31818" w:rsidRDefault="00E31818" w:rsidP="00ED58C7">
            <w:pPr>
              <w:pStyle w:val="ListParagraph"/>
              <w:ind w:left="0"/>
              <w:rPr>
                <w:lang w:val="en"/>
              </w:rPr>
            </w:pPr>
          </w:p>
        </w:tc>
        <w:tc>
          <w:tcPr>
            <w:tcW w:w="3117" w:type="dxa"/>
          </w:tcPr>
          <w:p w:rsidR="00E31818" w:rsidRDefault="00E31818" w:rsidP="00ED58C7">
            <w:pPr>
              <w:pStyle w:val="ListParagraph"/>
              <w:ind w:left="0"/>
              <w:rPr>
                <w:lang w:val="en"/>
              </w:rPr>
            </w:pPr>
            <w:r>
              <w:rPr>
                <w:lang w:val="en"/>
              </w:rPr>
              <w:t xml:space="preserve">In Sample </w:t>
            </w:r>
          </w:p>
        </w:tc>
        <w:tc>
          <w:tcPr>
            <w:tcW w:w="3117" w:type="dxa"/>
          </w:tcPr>
          <w:p w:rsidR="00E31818" w:rsidRDefault="00E31818" w:rsidP="00ED58C7">
            <w:pPr>
              <w:pStyle w:val="ListParagraph"/>
              <w:ind w:left="0"/>
              <w:rPr>
                <w:lang w:val="en"/>
              </w:rPr>
            </w:pPr>
            <w:r>
              <w:rPr>
                <w:lang w:val="en"/>
              </w:rPr>
              <w:t>Out of Sample</w:t>
            </w:r>
          </w:p>
        </w:tc>
      </w:tr>
      <w:tr w:rsidR="00E31818" w:rsidTr="00E31818">
        <w:tc>
          <w:tcPr>
            <w:tcW w:w="3116" w:type="dxa"/>
          </w:tcPr>
          <w:p w:rsidR="00E31818" w:rsidRDefault="00E31818" w:rsidP="00ED58C7">
            <w:pPr>
              <w:pStyle w:val="ListParagraph"/>
              <w:ind w:left="0"/>
              <w:rPr>
                <w:lang w:val="en"/>
              </w:rPr>
            </w:pPr>
            <w:r w:rsidRPr="00ED58C7">
              <w:rPr>
                <w:lang w:val="en"/>
              </w:rPr>
              <w:t>Cumulative Return of MachinePortfolio</w:t>
            </w:r>
          </w:p>
        </w:tc>
        <w:tc>
          <w:tcPr>
            <w:tcW w:w="3117" w:type="dxa"/>
          </w:tcPr>
          <w:p w:rsidR="00E31818" w:rsidRDefault="00E31818" w:rsidP="00ED58C7">
            <w:pPr>
              <w:pStyle w:val="ListParagraph"/>
              <w:ind w:left="0"/>
              <w:rPr>
                <w:lang w:val="en"/>
              </w:rPr>
            </w:pPr>
            <w:r w:rsidRPr="00E31818">
              <w:rPr>
                <w:lang w:val="en"/>
              </w:rPr>
              <w:t>0.46492</w:t>
            </w:r>
          </w:p>
        </w:tc>
        <w:tc>
          <w:tcPr>
            <w:tcW w:w="3117" w:type="dxa"/>
          </w:tcPr>
          <w:p w:rsidR="00E31818" w:rsidRDefault="00E31818" w:rsidP="00ED58C7">
            <w:pPr>
              <w:pStyle w:val="ListParagraph"/>
              <w:ind w:left="0"/>
              <w:rPr>
                <w:lang w:val="en"/>
              </w:rPr>
            </w:pPr>
            <w:r w:rsidRPr="00ED58C7">
              <w:rPr>
                <w:lang w:val="en"/>
              </w:rPr>
              <w:t>0.27874</w:t>
            </w:r>
          </w:p>
        </w:tc>
      </w:tr>
      <w:tr w:rsidR="00E31818" w:rsidTr="00E31818">
        <w:tc>
          <w:tcPr>
            <w:tcW w:w="3116" w:type="dxa"/>
          </w:tcPr>
          <w:p w:rsidR="00E31818" w:rsidRDefault="00E31818" w:rsidP="00ED58C7">
            <w:pPr>
              <w:pStyle w:val="ListParagraph"/>
              <w:ind w:left="0"/>
              <w:rPr>
                <w:lang w:val="en"/>
              </w:rPr>
            </w:pPr>
            <w:r w:rsidRPr="00ED58C7">
              <w:rPr>
                <w:lang w:val="en"/>
              </w:rPr>
              <w:t>Cumulative Return of ManualPortfolio</w:t>
            </w:r>
          </w:p>
        </w:tc>
        <w:tc>
          <w:tcPr>
            <w:tcW w:w="3117" w:type="dxa"/>
          </w:tcPr>
          <w:p w:rsidR="00E31818" w:rsidRDefault="00E31818" w:rsidP="00ED58C7">
            <w:pPr>
              <w:pStyle w:val="ListParagraph"/>
              <w:ind w:left="0"/>
              <w:rPr>
                <w:lang w:val="en"/>
              </w:rPr>
            </w:pPr>
            <w:r w:rsidRPr="00E31818">
              <w:rPr>
                <w:lang w:val="en"/>
              </w:rPr>
              <w:t>0.17764</w:t>
            </w:r>
          </w:p>
        </w:tc>
        <w:tc>
          <w:tcPr>
            <w:tcW w:w="3117" w:type="dxa"/>
          </w:tcPr>
          <w:p w:rsidR="00E31818" w:rsidRDefault="00E31818" w:rsidP="00ED58C7">
            <w:pPr>
              <w:pStyle w:val="ListParagraph"/>
              <w:ind w:left="0"/>
              <w:rPr>
                <w:lang w:val="en"/>
              </w:rPr>
            </w:pPr>
            <w:r w:rsidRPr="00ED58C7">
              <w:rPr>
                <w:lang w:val="en"/>
              </w:rPr>
              <w:t>-0.11506</w:t>
            </w:r>
          </w:p>
        </w:tc>
      </w:tr>
      <w:tr w:rsidR="00E31818" w:rsidTr="00E31818">
        <w:tc>
          <w:tcPr>
            <w:tcW w:w="3116" w:type="dxa"/>
          </w:tcPr>
          <w:p w:rsidR="00E31818" w:rsidRDefault="00E31818" w:rsidP="00ED58C7">
            <w:pPr>
              <w:pStyle w:val="ListParagraph"/>
              <w:ind w:left="0"/>
              <w:rPr>
                <w:lang w:val="en"/>
              </w:rPr>
            </w:pPr>
            <w:r w:rsidRPr="00ED58C7">
              <w:rPr>
                <w:lang w:val="en"/>
              </w:rPr>
              <w:t>Cumulative Return of BenchMark</w:t>
            </w:r>
          </w:p>
        </w:tc>
        <w:tc>
          <w:tcPr>
            <w:tcW w:w="3117" w:type="dxa"/>
          </w:tcPr>
          <w:p w:rsidR="00E31818" w:rsidRDefault="00E31818" w:rsidP="00ED58C7">
            <w:pPr>
              <w:pStyle w:val="ListParagraph"/>
              <w:ind w:left="0"/>
              <w:rPr>
                <w:lang w:val="en"/>
              </w:rPr>
            </w:pPr>
            <w:r w:rsidRPr="00E31818">
              <w:rPr>
                <w:lang w:val="en"/>
              </w:rPr>
              <w:t>0.03164</w:t>
            </w:r>
          </w:p>
        </w:tc>
        <w:tc>
          <w:tcPr>
            <w:tcW w:w="3117" w:type="dxa"/>
          </w:tcPr>
          <w:p w:rsidR="00E31818" w:rsidRDefault="00E31818" w:rsidP="00ED58C7">
            <w:pPr>
              <w:pStyle w:val="ListParagraph"/>
              <w:ind w:left="0"/>
              <w:rPr>
                <w:lang w:val="en"/>
              </w:rPr>
            </w:pPr>
            <w:r w:rsidRPr="00ED58C7">
              <w:rPr>
                <w:lang w:val="en"/>
              </w:rPr>
              <w:t>0.38034</w:t>
            </w:r>
          </w:p>
        </w:tc>
      </w:tr>
      <w:tr w:rsidR="00E31818" w:rsidTr="00E31818">
        <w:tc>
          <w:tcPr>
            <w:tcW w:w="3116" w:type="dxa"/>
          </w:tcPr>
          <w:p w:rsidR="00E31818" w:rsidRDefault="00E31818" w:rsidP="00ED58C7">
            <w:pPr>
              <w:pStyle w:val="ListParagraph"/>
              <w:ind w:left="0"/>
              <w:rPr>
                <w:lang w:val="en"/>
              </w:rPr>
            </w:pPr>
            <w:r w:rsidRPr="00ED58C7">
              <w:rPr>
                <w:lang w:val="en"/>
              </w:rPr>
              <w:t>Standard Deviation of MachinePortfolio</w:t>
            </w:r>
          </w:p>
        </w:tc>
        <w:tc>
          <w:tcPr>
            <w:tcW w:w="3117" w:type="dxa"/>
          </w:tcPr>
          <w:p w:rsidR="00E31818" w:rsidRDefault="00E31818" w:rsidP="00ED58C7">
            <w:pPr>
              <w:pStyle w:val="ListParagraph"/>
              <w:ind w:left="0"/>
              <w:rPr>
                <w:lang w:val="en"/>
              </w:rPr>
            </w:pPr>
            <w:r w:rsidRPr="00E31818">
              <w:rPr>
                <w:lang w:val="en"/>
              </w:rPr>
              <w:t>0.005593637429768362</w:t>
            </w:r>
          </w:p>
        </w:tc>
        <w:tc>
          <w:tcPr>
            <w:tcW w:w="3117" w:type="dxa"/>
          </w:tcPr>
          <w:p w:rsidR="00E31818" w:rsidRDefault="00E31818" w:rsidP="00ED58C7">
            <w:pPr>
              <w:pStyle w:val="ListParagraph"/>
              <w:ind w:left="0"/>
              <w:rPr>
                <w:lang w:val="en"/>
              </w:rPr>
            </w:pPr>
            <w:r w:rsidRPr="00ED58C7">
              <w:rPr>
                <w:lang w:val="en"/>
              </w:rPr>
              <w:t>0.00830483166433606</w:t>
            </w:r>
          </w:p>
        </w:tc>
      </w:tr>
      <w:tr w:rsidR="00E31818" w:rsidTr="00E31818">
        <w:tc>
          <w:tcPr>
            <w:tcW w:w="3116" w:type="dxa"/>
          </w:tcPr>
          <w:p w:rsidR="00E31818" w:rsidRDefault="00E31818" w:rsidP="00ED58C7">
            <w:pPr>
              <w:pStyle w:val="ListParagraph"/>
              <w:ind w:left="0"/>
              <w:rPr>
                <w:lang w:val="en"/>
              </w:rPr>
            </w:pPr>
            <w:r w:rsidRPr="00ED58C7">
              <w:rPr>
                <w:lang w:val="en"/>
              </w:rPr>
              <w:t>Standard Deviation of ManualPortfolio</w:t>
            </w:r>
          </w:p>
        </w:tc>
        <w:tc>
          <w:tcPr>
            <w:tcW w:w="3117" w:type="dxa"/>
          </w:tcPr>
          <w:p w:rsidR="00E31818" w:rsidRDefault="00E31818" w:rsidP="00ED58C7">
            <w:pPr>
              <w:pStyle w:val="ListParagraph"/>
              <w:ind w:left="0"/>
              <w:rPr>
                <w:lang w:val="en"/>
              </w:rPr>
            </w:pPr>
            <w:r w:rsidRPr="00E31818">
              <w:rPr>
                <w:lang w:val="en"/>
              </w:rPr>
              <w:t>0.005983279945156924</w:t>
            </w:r>
          </w:p>
        </w:tc>
        <w:tc>
          <w:tcPr>
            <w:tcW w:w="3117" w:type="dxa"/>
          </w:tcPr>
          <w:p w:rsidR="00E31818" w:rsidRDefault="00E31818" w:rsidP="00ED58C7">
            <w:pPr>
              <w:pStyle w:val="ListParagraph"/>
              <w:ind w:left="0"/>
              <w:rPr>
                <w:lang w:val="en"/>
              </w:rPr>
            </w:pPr>
            <w:r w:rsidRPr="00ED58C7">
              <w:rPr>
                <w:lang w:val="en"/>
              </w:rPr>
              <w:t>0.00857322075346746</w:t>
            </w:r>
          </w:p>
        </w:tc>
      </w:tr>
      <w:tr w:rsidR="00E31818" w:rsidTr="00E31818">
        <w:tc>
          <w:tcPr>
            <w:tcW w:w="3116" w:type="dxa"/>
          </w:tcPr>
          <w:p w:rsidR="00E31818" w:rsidRDefault="00E31818" w:rsidP="00ED58C7">
            <w:pPr>
              <w:pStyle w:val="ListParagraph"/>
              <w:ind w:left="0"/>
              <w:rPr>
                <w:lang w:val="en"/>
              </w:rPr>
            </w:pPr>
            <w:r w:rsidRPr="00ED58C7">
              <w:rPr>
                <w:lang w:val="en"/>
              </w:rPr>
              <w:t>Standard Deviation of BenchMark</w:t>
            </w:r>
          </w:p>
        </w:tc>
        <w:tc>
          <w:tcPr>
            <w:tcW w:w="3117" w:type="dxa"/>
          </w:tcPr>
          <w:p w:rsidR="00E31818" w:rsidRDefault="00E31818" w:rsidP="00ED58C7">
            <w:pPr>
              <w:pStyle w:val="ListParagraph"/>
              <w:ind w:left="0"/>
              <w:rPr>
                <w:lang w:val="en"/>
              </w:rPr>
            </w:pPr>
            <w:r w:rsidRPr="00E31818">
              <w:rPr>
                <w:lang w:val="en"/>
              </w:rPr>
              <w:t>0.008740537520147718</w:t>
            </w:r>
          </w:p>
        </w:tc>
        <w:tc>
          <w:tcPr>
            <w:tcW w:w="3117" w:type="dxa"/>
          </w:tcPr>
          <w:p w:rsidR="00E31818" w:rsidRDefault="00E31818" w:rsidP="00ED58C7">
            <w:pPr>
              <w:pStyle w:val="ListParagraph"/>
              <w:ind w:left="0"/>
              <w:rPr>
                <w:lang w:val="en"/>
              </w:rPr>
            </w:pPr>
            <w:r w:rsidRPr="00ED58C7">
              <w:rPr>
                <w:lang w:val="en"/>
              </w:rPr>
              <w:t>0.008553519757270927</w:t>
            </w:r>
          </w:p>
        </w:tc>
      </w:tr>
      <w:tr w:rsidR="00E31818" w:rsidTr="00E31818">
        <w:tc>
          <w:tcPr>
            <w:tcW w:w="3116" w:type="dxa"/>
          </w:tcPr>
          <w:p w:rsidR="00E31818" w:rsidRDefault="00E31818" w:rsidP="00ED58C7">
            <w:pPr>
              <w:pStyle w:val="ListParagraph"/>
              <w:ind w:left="0"/>
              <w:rPr>
                <w:lang w:val="en"/>
              </w:rPr>
            </w:pPr>
            <w:r w:rsidRPr="00ED58C7">
              <w:rPr>
                <w:lang w:val="en"/>
              </w:rPr>
              <w:t>Average Daily Return of MachinePortfolio</w:t>
            </w:r>
          </w:p>
        </w:tc>
        <w:tc>
          <w:tcPr>
            <w:tcW w:w="3117" w:type="dxa"/>
          </w:tcPr>
          <w:p w:rsidR="00E31818" w:rsidRDefault="00E31818" w:rsidP="00ED58C7">
            <w:pPr>
              <w:pStyle w:val="ListParagraph"/>
              <w:ind w:left="0"/>
              <w:rPr>
                <w:lang w:val="en"/>
              </w:rPr>
            </w:pPr>
            <w:r w:rsidRPr="00E31818">
              <w:rPr>
                <w:lang w:val="en"/>
              </w:rPr>
              <w:t>0.0007734095333034427</w:t>
            </w:r>
          </w:p>
        </w:tc>
        <w:tc>
          <w:tcPr>
            <w:tcW w:w="3117" w:type="dxa"/>
          </w:tcPr>
          <w:p w:rsidR="00E31818" w:rsidRDefault="00E31818" w:rsidP="00ED58C7">
            <w:pPr>
              <w:pStyle w:val="ListParagraph"/>
              <w:ind w:left="0"/>
              <w:rPr>
                <w:lang w:val="en"/>
              </w:rPr>
            </w:pPr>
            <w:r w:rsidRPr="00ED58C7">
              <w:rPr>
                <w:lang w:val="en"/>
              </w:rPr>
              <w:t>0.0005233167994038434</w:t>
            </w:r>
          </w:p>
        </w:tc>
      </w:tr>
      <w:tr w:rsidR="00E31818" w:rsidTr="00E31818">
        <w:tc>
          <w:tcPr>
            <w:tcW w:w="3116" w:type="dxa"/>
          </w:tcPr>
          <w:p w:rsidR="00E31818" w:rsidRDefault="00E31818" w:rsidP="00ED58C7">
            <w:pPr>
              <w:pStyle w:val="ListParagraph"/>
              <w:ind w:left="0"/>
              <w:rPr>
                <w:lang w:val="en"/>
              </w:rPr>
            </w:pPr>
            <w:r w:rsidRPr="00ED58C7">
              <w:rPr>
                <w:lang w:val="en"/>
              </w:rPr>
              <w:t>Average Daily Return of ManualPortfolio</w:t>
            </w:r>
          </w:p>
        </w:tc>
        <w:tc>
          <w:tcPr>
            <w:tcW w:w="3117" w:type="dxa"/>
          </w:tcPr>
          <w:p w:rsidR="00E31818" w:rsidRPr="00E31818" w:rsidRDefault="00E31818" w:rsidP="00E31818">
            <w:pPr>
              <w:rPr>
                <w:lang w:val="en"/>
              </w:rPr>
            </w:pPr>
            <w:r w:rsidRPr="00E31818">
              <w:rPr>
                <w:lang w:val="en"/>
              </w:rPr>
              <w:t>0.00034230492368556855</w:t>
            </w:r>
          </w:p>
        </w:tc>
        <w:tc>
          <w:tcPr>
            <w:tcW w:w="3117" w:type="dxa"/>
          </w:tcPr>
          <w:p w:rsidR="00E31818" w:rsidRDefault="00E31818" w:rsidP="00ED58C7">
            <w:pPr>
              <w:pStyle w:val="ListParagraph"/>
              <w:ind w:left="0"/>
              <w:rPr>
                <w:lang w:val="en"/>
              </w:rPr>
            </w:pPr>
            <w:r w:rsidRPr="00ED58C7">
              <w:rPr>
                <w:lang w:val="en"/>
              </w:rPr>
              <w:t>-0.00020636735019116046</w:t>
            </w:r>
          </w:p>
        </w:tc>
      </w:tr>
      <w:tr w:rsidR="00E31818" w:rsidTr="00E31818">
        <w:tc>
          <w:tcPr>
            <w:tcW w:w="3116" w:type="dxa"/>
          </w:tcPr>
          <w:p w:rsidR="00E31818" w:rsidRDefault="00E31818" w:rsidP="00ED58C7">
            <w:pPr>
              <w:pStyle w:val="ListParagraph"/>
              <w:ind w:left="0"/>
              <w:rPr>
                <w:lang w:val="en"/>
              </w:rPr>
            </w:pPr>
            <w:r w:rsidRPr="00ED58C7">
              <w:rPr>
                <w:lang w:val="en"/>
              </w:rPr>
              <w:t>Average Daily Return of BenchMark</w:t>
            </w:r>
          </w:p>
        </w:tc>
        <w:tc>
          <w:tcPr>
            <w:tcW w:w="3117" w:type="dxa"/>
          </w:tcPr>
          <w:p w:rsidR="00E31818" w:rsidRDefault="00E31818" w:rsidP="00ED58C7">
            <w:pPr>
              <w:pStyle w:val="ListParagraph"/>
              <w:ind w:left="0"/>
              <w:rPr>
                <w:lang w:val="en"/>
              </w:rPr>
            </w:pPr>
            <w:r w:rsidRPr="00E31818">
              <w:rPr>
                <w:lang w:val="en"/>
              </w:rPr>
              <w:t>0.00010006911696834135</w:t>
            </w:r>
          </w:p>
        </w:tc>
        <w:tc>
          <w:tcPr>
            <w:tcW w:w="3117" w:type="dxa"/>
          </w:tcPr>
          <w:p w:rsidR="00E31818" w:rsidRDefault="00E31818" w:rsidP="00ED58C7">
            <w:pPr>
              <w:pStyle w:val="ListParagraph"/>
              <w:ind w:left="0"/>
              <w:rPr>
                <w:lang w:val="en"/>
              </w:rPr>
            </w:pPr>
            <w:r w:rsidRPr="00ED58C7">
              <w:rPr>
                <w:lang w:val="en"/>
              </w:rPr>
              <w:t>0.0006775081056200108</w:t>
            </w:r>
          </w:p>
        </w:tc>
      </w:tr>
      <w:tr w:rsidR="00E31818" w:rsidTr="00E31818">
        <w:tc>
          <w:tcPr>
            <w:tcW w:w="3116" w:type="dxa"/>
          </w:tcPr>
          <w:p w:rsidR="00E31818" w:rsidRPr="00ED58C7" w:rsidRDefault="00E31818" w:rsidP="00ED58C7">
            <w:pPr>
              <w:pStyle w:val="ListParagraph"/>
              <w:ind w:left="0"/>
              <w:rPr>
                <w:lang w:val="en"/>
              </w:rPr>
            </w:pPr>
            <w:r w:rsidRPr="00ED58C7">
              <w:rPr>
                <w:lang w:val="en"/>
              </w:rPr>
              <w:t>Final Portfolio Value of MachinePortfolio</w:t>
            </w:r>
          </w:p>
        </w:tc>
        <w:tc>
          <w:tcPr>
            <w:tcW w:w="3117" w:type="dxa"/>
          </w:tcPr>
          <w:p w:rsidR="00E31818" w:rsidRDefault="00E31818" w:rsidP="00ED58C7">
            <w:pPr>
              <w:pStyle w:val="ListParagraph"/>
              <w:ind w:left="0"/>
              <w:rPr>
                <w:lang w:val="en"/>
              </w:rPr>
            </w:pPr>
            <w:r w:rsidRPr="00E31818">
              <w:rPr>
                <w:lang w:val="en"/>
              </w:rPr>
              <w:t>146492.0</w:t>
            </w:r>
          </w:p>
        </w:tc>
        <w:tc>
          <w:tcPr>
            <w:tcW w:w="3117" w:type="dxa"/>
          </w:tcPr>
          <w:p w:rsidR="00E31818" w:rsidRPr="00ED58C7" w:rsidRDefault="00E31818" w:rsidP="00ED58C7">
            <w:pPr>
              <w:pStyle w:val="ListParagraph"/>
              <w:ind w:left="0"/>
              <w:rPr>
                <w:lang w:val="en"/>
              </w:rPr>
            </w:pPr>
            <w:r w:rsidRPr="00ED58C7">
              <w:rPr>
                <w:lang w:val="en"/>
              </w:rPr>
              <w:t>127874.0</w:t>
            </w:r>
          </w:p>
        </w:tc>
      </w:tr>
      <w:tr w:rsidR="00E31818" w:rsidTr="00E31818">
        <w:tc>
          <w:tcPr>
            <w:tcW w:w="3116" w:type="dxa"/>
          </w:tcPr>
          <w:p w:rsidR="00E31818" w:rsidRPr="00ED58C7" w:rsidRDefault="00E31818" w:rsidP="00ED58C7">
            <w:pPr>
              <w:pStyle w:val="ListParagraph"/>
              <w:ind w:left="0"/>
              <w:rPr>
                <w:lang w:val="en"/>
              </w:rPr>
            </w:pPr>
            <w:r w:rsidRPr="00ED58C7">
              <w:rPr>
                <w:lang w:val="en"/>
              </w:rPr>
              <w:lastRenderedPageBreak/>
              <w:t>Final Portfolio Value of ManualPortfolio</w:t>
            </w:r>
          </w:p>
        </w:tc>
        <w:tc>
          <w:tcPr>
            <w:tcW w:w="3117" w:type="dxa"/>
          </w:tcPr>
          <w:p w:rsidR="00E31818" w:rsidRDefault="00E31818" w:rsidP="00ED58C7">
            <w:pPr>
              <w:pStyle w:val="ListParagraph"/>
              <w:ind w:left="0"/>
              <w:rPr>
                <w:lang w:val="en"/>
              </w:rPr>
            </w:pPr>
            <w:r w:rsidRPr="00E31818">
              <w:rPr>
                <w:lang w:val="en"/>
              </w:rPr>
              <w:t>117764.0</w:t>
            </w:r>
          </w:p>
        </w:tc>
        <w:tc>
          <w:tcPr>
            <w:tcW w:w="3117" w:type="dxa"/>
          </w:tcPr>
          <w:p w:rsidR="00E31818" w:rsidRPr="00ED58C7" w:rsidRDefault="00E31818" w:rsidP="00ED58C7">
            <w:pPr>
              <w:pStyle w:val="ListParagraph"/>
              <w:ind w:left="0"/>
              <w:rPr>
                <w:lang w:val="en"/>
              </w:rPr>
            </w:pPr>
            <w:r w:rsidRPr="00ED58C7">
              <w:rPr>
                <w:lang w:val="en"/>
              </w:rPr>
              <w:t>88494.0</w:t>
            </w:r>
          </w:p>
        </w:tc>
      </w:tr>
      <w:tr w:rsidR="00E31818" w:rsidTr="00E31818">
        <w:tc>
          <w:tcPr>
            <w:tcW w:w="3116" w:type="dxa"/>
          </w:tcPr>
          <w:p w:rsidR="00E31818" w:rsidRPr="00ED58C7" w:rsidRDefault="00E31818" w:rsidP="00ED58C7">
            <w:pPr>
              <w:pStyle w:val="ListParagraph"/>
              <w:ind w:left="0"/>
              <w:rPr>
                <w:lang w:val="en"/>
              </w:rPr>
            </w:pPr>
            <w:r w:rsidRPr="00ED58C7">
              <w:rPr>
                <w:lang w:val="en"/>
              </w:rPr>
              <w:t>Final Portfolio Value of BenchMark</w:t>
            </w:r>
          </w:p>
        </w:tc>
        <w:tc>
          <w:tcPr>
            <w:tcW w:w="3117" w:type="dxa"/>
          </w:tcPr>
          <w:p w:rsidR="00E31818" w:rsidRDefault="00E31818" w:rsidP="00ED58C7">
            <w:pPr>
              <w:pStyle w:val="ListParagraph"/>
              <w:ind w:left="0"/>
              <w:rPr>
                <w:lang w:val="en"/>
              </w:rPr>
            </w:pPr>
            <w:r w:rsidRPr="00E31818">
              <w:rPr>
                <w:lang w:val="en"/>
              </w:rPr>
              <w:t>103164.0</w:t>
            </w:r>
          </w:p>
        </w:tc>
        <w:tc>
          <w:tcPr>
            <w:tcW w:w="3117" w:type="dxa"/>
          </w:tcPr>
          <w:p w:rsidR="00E31818" w:rsidRPr="00ED58C7" w:rsidRDefault="00E31818" w:rsidP="00ED58C7">
            <w:pPr>
              <w:pStyle w:val="ListParagraph"/>
              <w:ind w:left="0"/>
              <w:rPr>
                <w:lang w:val="en"/>
              </w:rPr>
            </w:pPr>
            <w:r w:rsidRPr="00ED58C7">
              <w:rPr>
                <w:lang w:val="en"/>
              </w:rPr>
              <w:t>138034.0</w:t>
            </w:r>
          </w:p>
        </w:tc>
      </w:tr>
    </w:tbl>
    <w:p w:rsidR="00ED58C7" w:rsidRDefault="00ED58C7" w:rsidP="00ED58C7">
      <w:pPr>
        <w:pStyle w:val="ListParagraph"/>
        <w:spacing w:line="240" w:lineRule="auto"/>
        <w:ind w:left="360" w:firstLine="576"/>
        <w:rPr>
          <w:lang w:val="en"/>
        </w:rPr>
      </w:pPr>
    </w:p>
    <w:p w:rsidR="00ED58C7" w:rsidRDefault="00ED58C7" w:rsidP="00ED58C7">
      <w:pPr>
        <w:pStyle w:val="ListParagraph"/>
        <w:spacing w:line="240" w:lineRule="auto"/>
        <w:ind w:left="360" w:firstLine="576"/>
        <w:rPr>
          <w:lang w:val="en"/>
        </w:rPr>
      </w:pPr>
    </w:p>
    <w:p w:rsidR="00ED58C7" w:rsidRPr="00ED58C7" w:rsidRDefault="00ED58C7" w:rsidP="00ED58C7">
      <w:r w:rsidRPr="00ED58C7">
        <w:t>Analysis:</w:t>
      </w:r>
    </w:p>
    <w:p w:rsidR="00ED58C7" w:rsidRPr="00ED58C7" w:rsidRDefault="00E31818" w:rsidP="00ED58C7">
      <w:pPr>
        <w:pStyle w:val="ListParagraph"/>
        <w:spacing w:line="240" w:lineRule="auto"/>
        <w:ind w:left="360" w:firstLine="576"/>
        <w:rPr>
          <w:lang w:val="en"/>
        </w:rPr>
      </w:pPr>
      <w:r>
        <w:rPr>
          <w:lang w:val="en"/>
        </w:rPr>
        <w:t>From the above figure, out of the sample, the benchmark has the best performance and machine learning method have the second best performance and Manual rule best method is the worst. This is mainly because the in sample data is in a special case, the market drop and rocket significantly, this rule may works. And machine learning methods learned something special that is not obviously. Therefore, it has better performance both in sample and out of the sample. The benchmark is always very hard to beat.</w:t>
      </w:r>
    </w:p>
    <w:sectPr w:rsidR="00ED58C7" w:rsidRPr="00ED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A3078"/>
    <w:multiLevelType w:val="multilevel"/>
    <w:tmpl w:val="79460A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13"/>
    <w:rsid w:val="0001184B"/>
    <w:rsid w:val="00061277"/>
    <w:rsid w:val="0009026F"/>
    <w:rsid w:val="00105EE5"/>
    <w:rsid w:val="001D5BD1"/>
    <w:rsid w:val="002A3AE3"/>
    <w:rsid w:val="002E483E"/>
    <w:rsid w:val="003018FC"/>
    <w:rsid w:val="00326D15"/>
    <w:rsid w:val="00330E1D"/>
    <w:rsid w:val="0035240D"/>
    <w:rsid w:val="003C3671"/>
    <w:rsid w:val="003E39FA"/>
    <w:rsid w:val="004161FB"/>
    <w:rsid w:val="004F50E7"/>
    <w:rsid w:val="005F4B5C"/>
    <w:rsid w:val="006125DD"/>
    <w:rsid w:val="00631620"/>
    <w:rsid w:val="006A38D8"/>
    <w:rsid w:val="006C5C5A"/>
    <w:rsid w:val="00871396"/>
    <w:rsid w:val="00894E44"/>
    <w:rsid w:val="00902730"/>
    <w:rsid w:val="0093135E"/>
    <w:rsid w:val="0093290A"/>
    <w:rsid w:val="009A2A6B"/>
    <w:rsid w:val="009F5938"/>
    <w:rsid w:val="00A26149"/>
    <w:rsid w:val="00A277A7"/>
    <w:rsid w:val="00A55450"/>
    <w:rsid w:val="00AA06D3"/>
    <w:rsid w:val="00B668D3"/>
    <w:rsid w:val="00B73DB4"/>
    <w:rsid w:val="00B96066"/>
    <w:rsid w:val="00BC56E1"/>
    <w:rsid w:val="00C30804"/>
    <w:rsid w:val="00C54105"/>
    <w:rsid w:val="00C6215F"/>
    <w:rsid w:val="00C87A41"/>
    <w:rsid w:val="00CC7535"/>
    <w:rsid w:val="00D03F13"/>
    <w:rsid w:val="00D8778D"/>
    <w:rsid w:val="00DF4DCA"/>
    <w:rsid w:val="00E03577"/>
    <w:rsid w:val="00E31818"/>
    <w:rsid w:val="00E40C64"/>
    <w:rsid w:val="00E42686"/>
    <w:rsid w:val="00E56302"/>
    <w:rsid w:val="00E90834"/>
    <w:rsid w:val="00EB2A45"/>
    <w:rsid w:val="00ED58C7"/>
    <w:rsid w:val="00EE189B"/>
    <w:rsid w:val="00F972F3"/>
    <w:rsid w:val="00FB0B3B"/>
    <w:rsid w:val="00FC4E83"/>
    <w:rsid w:val="00FE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D090"/>
  <w15:chartTrackingRefBased/>
  <w15:docId w15:val="{A9CB924F-0E5A-4A4A-8EFA-D65CE5E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F13"/>
    <w:pPr>
      <w:ind w:left="720"/>
      <w:contextualSpacing/>
    </w:pPr>
  </w:style>
  <w:style w:type="character" w:customStyle="1" w:styleId="apple-converted-space">
    <w:name w:val="apple-converted-space"/>
    <w:basedOn w:val="DefaultParagraphFont"/>
    <w:rsid w:val="002A3AE3"/>
  </w:style>
  <w:style w:type="character" w:styleId="Hyperlink">
    <w:name w:val="Hyperlink"/>
    <w:basedOn w:val="DefaultParagraphFont"/>
    <w:uiPriority w:val="99"/>
    <w:unhideWhenUsed/>
    <w:rsid w:val="002A3AE3"/>
    <w:rPr>
      <w:color w:val="0000FF"/>
      <w:u w:val="single"/>
    </w:rPr>
  </w:style>
  <w:style w:type="paragraph" w:styleId="HTMLPreformatted">
    <w:name w:val="HTML Preformatted"/>
    <w:basedOn w:val="Normal"/>
    <w:link w:val="HTMLPreformattedChar"/>
    <w:uiPriority w:val="99"/>
    <w:semiHidden/>
    <w:unhideWhenUsed/>
    <w:rsid w:val="002A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AE3"/>
    <w:rPr>
      <w:rFonts w:ascii="Courier New" w:eastAsia="Times New Roman" w:hAnsi="Courier New" w:cs="Courier New"/>
      <w:sz w:val="20"/>
      <w:szCs w:val="20"/>
    </w:rPr>
  </w:style>
  <w:style w:type="character" w:styleId="Mention">
    <w:name w:val="Mention"/>
    <w:basedOn w:val="DefaultParagraphFont"/>
    <w:uiPriority w:val="99"/>
    <w:semiHidden/>
    <w:unhideWhenUsed/>
    <w:rsid w:val="00A55450"/>
    <w:rPr>
      <w:color w:val="2B579A"/>
      <w:shd w:val="clear" w:color="auto" w:fill="E6E6E6"/>
    </w:rPr>
  </w:style>
  <w:style w:type="character" w:styleId="Strong">
    <w:name w:val="Strong"/>
    <w:basedOn w:val="DefaultParagraphFont"/>
    <w:uiPriority w:val="22"/>
    <w:qFormat/>
    <w:rsid w:val="00A55450"/>
    <w:rPr>
      <w:b/>
      <w:bCs/>
    </w:rPr>
  </w:style>
  <w:style w:type="character" w:customStyle="1" w:styleId="Heading2Char">
    <w:name w:val="Heading 2 Char"/>
    <w:basedOn w:val="DefaultParagraphFont"/>
    <w:link w:val="Heading2"/>
    <w:uiPriority w:val="9"/>
    <w:rsid w:val="00A55450"/>
    <w:rPr>
      <w:rFonts w:ascii="Times New Roman" w:eastAsia="Times New Roman" w:hAnsi="Times New Roman" w:cs="Times New Roman"/>
      <w:b/>
      <w:bCs/>
      <w:sz w:val="36"/>
      <w:szCs w:val="36"/>
    </w:rPr>
  </w:style>
  <w:style w:type="character" w:customStyle="1" w:styleId="mw-headline">
    <w:name w:val="mw-headline"/>
    <w:basedOn w:val="DefaultParagraphFont"/>
    <w:rsid w:val="00A55450"/>
  </w:style>
  <w:style w:type="character" w:customStyle="1" w:styleId="Heading1Char">
    <w:name w:val="Heading 1 Char"/>
    <w:basedOn w:val="DefaultParagraphFont"/>
    <w:link w:val="Heading1"/>
    <w:uiPriority w:val="9"/>
    <w:rsid w:val="00330E1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5240D"/>
    <w:rPr>
      <w:color w:val="808080"/>
    </w:rPr>
  </w:style>
  <w:style w:type="table" w:styleId="TableGrid">
    <w:name w:val="Table Grid"/>
    <w:basedOn w:val="TableNormal"/>
    <w:uiPriority w:val="39"/>
    <w:rsid w:val="00E3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5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1617">
      <w:bodyDiv w:val="1"/>
      <w:marLeft w:val="0"/>
      <w:marRight w:val="0"/>
      <w:marTop w:val="0"/>
      <w:marBottom w:val="0"/>
      <w:divBdr>
        <w:top w:val="none" w:sz="0" w:space="0" w:color="auto"/>
        <w:left w:val="none" w:sz="0" w:space="0" w:color="auto"/>
        <w:bottom w:val="none" w:sz="0" w:space="0" w:color="auto"/>
        <w:right w:val="none" w:sz="0" w:space="0" w:color="auto"/>
      </w:divBdr>
    </w:div>
    <w:div w:id="435447826">
      <w:bodyDiv w:val="1"/>
      <w:marLeft w:val="0"/>
      <w:marRight w:val="0"/>
      <w:marTop w:val="0"/>
      <w:marBottom w:val="0"/>
      <w:divBdr>
        <w:top w:val="none" w:sz="0" w:space="0" w:color="auto"/>
        <w:left w:val="none" w:sz="0" w:space="0" w:color="auto"/>
        <w:bottom w:val="none" w:sz="0" w:space="0" w:color="auto"/>
        <w:right w:val="none" w:sz="0" w:space="0" w:color="auto"/>
      </w:divBdr>
      <w:divsChild>
        <w:div w:id="185798317">
          <w:marLeft w:val="0"/>
          <w:marRight w:val="0"/>
          <w:marTop w:val="0"/>
          <w:marBottom w:val="0"/>
          <w:divBdr>
            <w:top w:val="none" w:sz="0" w:space="0" w:color="auto"/>
            <w:left w:val="none" w:sz="0" w:space="0" w:color="auto"/>
            <w:bottom w:val="none" w:sz="0" w:space="0" w:color="auto"/>
            <w:right w:val="none" w:sz="0" w:space="0" w:color="auto"/>
          </w:divBdr>
          <w:divsChild>
            <w:div w:id="965813037">
              <w:marLeft w:val="0"/>
              <w:marRight w:val="0"/>
              <w:marTop w:val="0"/>
              <w:marBottom w:val="0"/>
              <w:divBdr>
                <w:top w:val="none" w:sz="0" w:space="0" w:color="auto"/>
                <w:left w:val="none" w:sz="0" w:space="0" w:color="auto"/>
                <w:bottom w:val="none" w:sz="0" w:space="0" w:color="auto"/>
                <w:right w:val="none" w:sz="0" w:space="0" w:color="auto"/>
              </w:divBdr>
              <w:divsChild>
                <w:div w:id="422067886">
                  <w:marLeft w:val="0"/>
                  <w:marRight w:val="-300"/>
                  <w:marTop w:val="0"/>
                  <w:marBottom w:val="0"/>
                  <w:divBdr>
                    <w:top w:val="none" w:sz="0" w:space="0" w:color="auto"/>
                    <w:left w:val="none" w:sz="0" w:space="0" w:color="auto"/>
                    <w:bottom w:val="none" w:sz="0" w:space="0" w:color="auto"/>
                    <w:right w:val="none" w:sz="0" w:space="0" w:color="auto"/>
                  </w:divBdr>
                  <w:divsChild>
                    <w:div w:id="1246233250">
                      <w:marLeft w:val="0"/>
                      <w:marRight w:val="0"/>
                      <w:marTop w:val="0"/>
                      <w:marBottom w:val="0"/>
                      <w:divBdr>
                        <w:top w:val="none" w:sz="0" w:space="0" w:color="auto"/>
                        <w:left w:val="none" w:sz="0" w:space="0" w:color="auto"/>
                        <w:bottom w:val="none" w:sz="0" w:space="0" w:color="auto"/>
                        <w:right w:val="none" w:sz="0" w:space="0" w:color="auto"/>
                      </w:divBdr>
                      <w:divsChild>
                        <w:div w:id="1665737642">
                          <w:marLeft w:val="0"/>
                          <w:marRight w:val="0"/>
                          <w:marTop w:val="0"/>
                          <w:marBottom w:val="0"/>
                          <w:divBdr>
                            <w:top w:val="none" w:sz="0" w:space="0" w:color="auto"/>
                            <w:left w:val="none" w:sz="0" w:space="0" w:color="auto"/>
                            <w:bottom w:val="none" w:sz="0" w:space="0" w:color="auto"/>
                            <w:right w:val="none" w:sz="0" w:space="0" w:color="auto"/>
                          </w:divBdr>
                          <w:divsChild>
                            <w:div w:id="694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620991">
      <w:bodyDiv w:val="1"/>
      <w:marLeft w:val="0"/>
      <w:marRight w:val="0"/>
      <w:marTop w:val="0"/>
      <w:marBottom w:val="0"/>
      <w:divBdr>
        <w:top w:val="none" w:sz="0" w:space="0" w:color="auto"/>
        <w:left w:val="none" w:sz="0" w:space="0" w:color="auto"/>
        <w:bottom w:val="none" w:sz="0" w:space="0" w:color="auto"/>
        <w:right w:val="none" w:sz="0" w:space="0" w:color="auto"/>
      </w:divBdr>
    </w:div>
    <w:div w:id="678888972">
      <w:bodyDiv w:val="1"/>
      <w:marLeft w:val="0"/>
      <w:marRight w:val="0"/>
      <w:marTop w:val="0"/>
      <w:marBottom w:val="0"/>
      <w:divBdr>
        <w:top w:val="none" w:sz="0" w:space="0" w:color="auto"/>
        <w:left w:val="none" w:sz="0" w:space="0" w:color="auto"/>
        <w:bottom w:val="none" w:sz="0" w:space="0" w:color="auto"/>
        <w:right w:val="none" w:sz="0" w:space="0" w:color="auto"/>
      </w:divBdr>
    </w:div>
    <w:div w:id="1209488662">
      <w:bodyDiv w:val="1"/>
      <w:marLeft w:val="0"/>
      <w:marRight w:val="0"/>
      <w:marTop w:val="0"/>
      <w:marBottom w:val="0"/>
      <w:divBdr>
        <w:top w:val="none" w:sz="0" w:space="0" w:color="auto"/>
        <w:left w:val="none" w:sz="0" w:space="0" w:color="auto"/>
        <w:bottom w:val="none" w:sz="0" w:space="0" w:color="auto"/>
        <w:right w:val="none" w:sz="0" w:space="0" w:color="auto"/>
      </w:divBdr>
    </w:div>
    <w:div w:id="1316178534">
      <w:bodyDiv w:val="1"/>
      <w:marLeft w:val="0"/>
      <w:marRight w:val="0"/>
      <w:marTop w:val="0"/>
      <w:marBottom w:val="0"/>
      <w:divBdr>
        <w:top w:val="none" w:sz="0" w:space="0" w:color="auto"/>
        <w:left w:val="none" w:sz="0" w:space="0" w:color="auto"/>
        <w:bottom w:val="none" w:sz="0" w:space="0" w:color="auto"/>
        <w:right w:val="none" w:sz="0" w:space="0" w:color="auto"/>
      </w:divBdr>
    </w:div>
    <w:div w:id="1492333241">
      <w:bodyDiv w:val="1"/>
      <w:marLeft w:val="0"/>
      <w:marRight w:val="0"/>
      <w:marTop w:val="0"/>
      <w:marBottom w:val="0"/>
      <w:divBdr>
        <w:top w:val="none" w:sz="0" w:space="0" w:color="auto"/>
        <w:left w:val="none" w:sz="0" w:space="0" w:color="auto"/>
        <w:bottom w:val="none" w:sz="0" w:space="0" w:color="auto"/>
        <w:right w:val="none" w:sz="0" w:space="0" w:color="auto"/>
      </w:divBdr>
    </w:div>
    <w:div w:id="1514152928">
      <w:bodyDiv w:val="1"/>
      <w:marLeft w:val="0"/>
      <w:marRight w:val="0"/>
      <w:marTop w:val="0"/>
      <w:marBottom w:val="0"/>
      <w:divBdr>
        <w:top w:val="none" w:sz="0" w:space="0" w:color="auto"/>
        <w:left w:val="none" w:sz="0" w:space="0" w:color="auto"/>
        <w:bottom w:val="none" w:sz="0" w:space="0" w:color="auto"/>
        <w:right w:val="none" w:sz="0" w:space="0" w:color="auto"/>
      </w:divBdr>
      <w:divsChild>
        <w:div w:id="827089055">
          <w:marLeft w:val="0"/>
          <w:marRight w:val="0"/>
          <w:marTop w:val="0"/>
          <w:marBottom w:val="0"/>
          <w:divBdr>
            <w:top w:val="none" w:sz="0" w:space="0" w:color="auto"/>
            <w:left w:val="none" w:sz="0" w:space="0" w:color="auto"/>
            <w:bottom w:val="none" w:sz="0" w:space="0" w:color="auto"/>
            <w:right w:val="none" w:sz="0" w:space="0" w:color="auto"/>
          </w:divBdr>
          <w:divsChild>
            <w:div w:id="1384060427">
              <w:marLeft w:val="0"/>
              <w:marRight w:val="0"/>
              <w:marTop w:val="0"/>
              <w:marBottom w:val="0"/>
              <w:divBdr>
                <w:top w:val="none" w:sz="0" w:space="0" w:color="auto"/>
                <w:left w:val="none" w:sz="0" w:space="0" w:color="auto"/>
                <w:bottom w:val="none" w:sz="0" w:space="0" w:color="auto"/>
                <w:right w:val="none" w:sz="0" w:space="0" w:color="auto"/>
              </w:divBdr>
              <w:divsChild>
                <w:div w:id="1373265595">
                  <w:marLeft w:val="0"/>
                  <w:marRight w:val="-300"/>
                  <w:marTop w:val="0"/>
                  <w:marBottom w:val="0"/>
                  <w:divBdr>
                    <w:top w:val="none" w:sz="0" w:space="0" w:color="auto"/>
                    <w:left w:val="none" w:sz="0" w:space="0" w:color="auto"/>
                    <w:bottom w:val="none" w:sz="0" w:space="0" w:color="auto"/>
                    <w:right w:val="none" w:sz="0" w:space="0" w:color="auto"/>
                  </w:divBdr>
                  <w:divsChild>
                    <w:div w:id="1080175244">
                      <w:marLeft w:val="0"/>
                      <w:marRight w:val="0"/>
                      <w:marTop w:val="0"/>
                      <w:marBottom w:val="0"/>
                      <w:divBdr>
                        <w:top w:val="none" w:sz="0" w:space="0" w:color="auto"/>
                        <w:left w:val="none" w:sz="0" w:space="0" w:color="auto"/>
                        <w:bottom w:val="none" w:sz="0" w:space="0" w:color="auto"/>
                        <w:right w:val="none" w:sz="0" w:space="0" w:color="auto"/>
                      </w:divBdr>
                      <w:divsChild>
                        <w:div w:id="14831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51201">
      <w:bodyDiv w:val="1"/>
      <w:marLeft w:val="0"/>
      <w:marRight w:val="0"/>
      <w:marTop w:val="0"/>
      <w:marBottom w:val="0"/>
      <w:divBdr>
        <w:top w:val="none" w:sz="0" w:space="0" w:color="auto"/>
        <w:left w:val="none" w:sz="0" w:space="0" w:color="auto"/>
        <w:bottom w:val="none" w:sz="0" w:space="0" w:color="auto"/>
        <w:right w:val="none" w:sz="0" w:space="0" w:color="auto"/>
      </w:divBdr>
      <w:divsChild>
        <w:div w:id="2102332927">
          <w:marLeft w:val="0"/>
          <w:marRight w:val="0"/>
          <w:marTop w:val="0"/>
          <w:marBottom w:val="0"/>
          <w:divBdr>
            <w:top w:val="none" w:sz="0" w:space="0" w:color="auto"/>
            <w:left w:val="none" w:sz="0" w:space="0" w:color="auto"/>
            <w:bottom w:val="none" w:sz="0" w:space="0" w:color="auto"/>
            <w:right w:val="none" w:sz="0" w:space="0" w:color="auto"/>
          </w:divBdr>
          <w:divsChild>
            <w:div w:id="2088765934">
              <w:marLeft w:val="0"/>
              <w:marRight w:val="0"/>
              <w:marTop w:val="0"/>
              <w:marBottom w:val="0"/>
              <w:divBdr>
                <w:top w:val="none" w:sz="0" w:space="0" w:color="auto"/>
                <w:left w:val="none" w:sz="0" w:space="0" w:color="auto"/>
                <w:bottom w:val="none" w:sz="0" w:space="0" w:color="auto"/>
                <w:right w:val="none" w:sz="0" w:space="0" w:color="auto"/>
              </w:divBdr>
              <w:divsChild>
                <w:div w:id="360739955">
                  <w:marLeft w:val="0"/>
                  <w:marRight w:val="-300"/>
                  <w:marTop w:val="0"/>
                  <w:marBottom w:val="0"/>
                  <w:divBdr>
                    <w:top w:val="none" w:sz="0" w:space="0" w:color="auto"/>
                    <w:left w:val="none" w:sz="0" w:space="0" w:color="auto"/>
                    <w:bottom w:val="none" w:sz="0" w:space="0" w:color="auto"/>
                    <w:right w:val="none" w:sz="0" w:space="0" w:color="auto"/>
                  </w:divBdr>
                  <w:divsChild>
                    <w:div w:id="1295791565">
                      <w:marLeft w:val="0"/>
                      <w:marRight w:val="0"/>
                      <w:marTop w:val="0"/>
                      <w:marBottom w:val="0"/>
                      <w:divBdr>
                        <w:top w:val="none" w:sz="0" w:space="0" w:color="auto"/>
                        <w:left w:val="none" w:sz="0" w:space="0" w:color="auto"/>
                        <w:bottom w:val="none" w:sz="0" w:space="0" w:color="auto"/>
                        <w:right w:val="none" w:sz="0" w:space="0" w:color="auto"/>
                      </w:divBdr>
                      <w:divsChild>
                        <w:div w:id="774131853">
                          <w:marLeft w:val="0"/>
                          <w:marRight w:val="0"/>
                          <w:marTop w:val="0"/>
                          <w:marBottom w:val="0"/>
                          <w:divBdr>
                            <w:top w:val="none" w:sz="0" w:space="0" w:color="auto"/>
                            <w:left w:val="none" w:sz="0" w:space="0" w:color="auto"/>
                            <w:bottom w:val="none" w:sz="0" w:space="0" w:color="auto"/>
                            <w:right w:val="none" w:sz="0" w:space="0" w:color="auto"/>
                          </w:divBdr>
                          <w:divsChild>
                            <w:div w:id="14421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5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ckcharts.com/school/doku.php?id=chart_school:technical_indicators:rate_of_change_roc_and_momentu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tockcharts.com/school/doku.php?id=chart_school:technical_indicators:introduction_to_technical_indicators_and_oscillators"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tockcharts.com/school/doku.php?st=rsi&amp;id=chart_school:technical_indicators:relative_strength_index_rs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2736</TotalTime>
  <Pages>10</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Weiyu</dc:creator>
  <cp:keywords/>
  <dc:description/>
  <cp:lastModifiedBy>Wan, Weiyu</cp:lastModifiedBy>
  <cp:revision>10</cp:revision>
  <dcterms:created xsi:type="dcterms:W3CDTF">2017-04-08T17:49:00Z</dcterms:created>
  <dcterms:modified xsi:type="dcterms:W3CDTF">2017-04-11T03:06:00Z</dcterms:modified>
</cp:coreProperties>
</file>