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AI短剧创作平台成果报告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br/>
        <w:t>北京君禾世纪科技有限公司</w:t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产品核心竞争力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本平台是国内首个实现从剧本构思到视频合成全自动化的专业系统，具备极高的技术壁垒和市场竞争力。</w:t>
      </w:r>
    </w:p>
    <w:p>
      <w:pPr>
        <w:jc w:val="left"/>
      </w:pPr>
      <w:r>
        <w:rPr>
          <w:rFonts w:ascii="SimSun" w:hAnsi="SimSun" w:eastAsia="SimSun"/>
          <w:b/>
          <w:sz w:val="24"/>
        </w:rPr>
        <w:t>应用成果展示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目前已累计服务上百名创作者，生成短剧作品过千部，大幅降低了行业准入门槛。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