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99CE9">
      <w:pPr>
        <w:keepNext w:val="0"/>
        <w:keepLines w:val="0"/>
        <w:widowControl/>
        <w:suppressLineNumbers w:val="0"/>
        <w:spacing w:line="240" w:lineRule="auto"/>
        <w:jc w:val="center"/>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kern w:val="0"/>
          <w:sz w:val="30"/>
          <w:szCs w:val="30"/>
          <w:lang w:val="en-US" w:eastAsia="zh-CN" w:bidi="ar"/>
          <w14:textFill>
            <w14:solidFill>
              <w14:schemeClr w14:val="tx1"/>
            </w14:solidFill>
          </w14:textFill>
        </w:rPr>
        <w:t>通用中台智签宝系统立项报告</w:t>
      </w:r>
    </w:p>
    <w:p w14:paraId="092595D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3E1B2C91">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576C911D">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52802498">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497761D0">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5F120B2">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41DE6326">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9E66454">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2735358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2E694D6">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136C3D6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0CCF5B1E">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83FE4CB">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3D46A7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2357C18D">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213A33A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6AF8EC61">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74E0D09C">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794B357F">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p>
    <w:p w14:paraId="2B5649E7">
      <w:pPr>
        <w:pStyle w:val="14"/>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北京君禾世纪科技有限公司</w:t>
      </w:r>
    </w:p>
    <w:p w14:paraId="0F50A337">
      <w:pPr>
        <w:pStyle w:val="14"/>
        <w:keepNext w:val="0"/>
        <w:keepLines w:val="0"/>
        <w:widowControl/>
        <w:suppressLineNumbers w:val="0"/>
        <w:spacing w:before="0" w:beforeAutospacing="0" w:after="0" w:afterAutospacing="0" w:line="240" w:lineRule="auto"/>
        <w:ind w:left="0" w:right="0"/>
        <w:jc w:val="center"/>
        <w:rPr>
          <w:rStyle w:val="17"/>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二○二四年十二月</w:t>
      </w:r>
    </w:p>
    <w:sdt>
      <w:sdtPr>
        <w:rPr>
          <w:rFonts w:ascii="宋体" w:hAnsi="宋体" w:eastAsia="宋体" w:cstheme="minorBidi"/>
          <w:kern w:val="2"/>
          <w:sz w:val="21"/>
          <w:szCs w:val="24"/>
          <w:lang w:val="en-US" w:eastAsia="zh-CN" w:bidi="ar-SA"/>
        </w:rPr>
        <w:id w:val="147475395"/>
        <w15:color w:val="DBDBDB"/>
        <w:docPartObj>
          <w:docPartGallery w:val="Table of Contents"/>
          <w:docPartUnique/>
        </w:docPartObj>
      </w:sdtPr>
      <w:sdtEndPr>
        <w:rPr>
          <w:rFonts w:hint="eastAsia" w:ascii="宋体" w:hAnsi="宋体" w:eastAsia="宋体" w:cs="宋体"/>
          <w:color w:val="000000" w:themeColor="text1"/>
          <w:kern w:val="0"/>
          <w:sz w:val="24"/>
          <w:szCs w:val="28"/>
          <w:lang w:val="en-US" w:eastAsia="zh-CN" w:bidi="ar"/>
          <w14:textFill>
            <w14:solidFill>
              <w14:schemeClr w14:val="tx1"/>
            </w14:solidFill>
          </w14:textFill>
        </w:rPr>
      </w:sdtEndPr>
      <w:sdtContent>
        <w:p w14:paraId="5EF92CA9">
          <w:pPr>
            <w:spacing w:before="0" w:beforeLines="0" w:after="0" w:afterLines="0" w:line="240" w:lineRule="auto"/>
            <w:ind w:left="0" w:leftChars="0" w:right="0" w:rightChars="0" w:firstLine="0" w:firstLineChars="0"/>
            <w:jc w:val="center"/>
            <w:rPr>
              <w:b/>
              <w:bCs/>
              <w:sz w:val="28"/>
              <w:szCs w:val="28"/>
            </w:rPr>
          </w:pPr>
          <w:r>
            <w:rPr>
              <w:rFonts w:ascii="宋体" w:hAnsi="宋体" w:eastAsia="宋体"/>
              <w:b/>
              <w:bCs/>
              <w:sz w:val="28"/>
              <w:szCs w:val="28"/>
            </w:rPr>
            <w:t>目录</w:t>
          </w:r>
        </w:p>
        <w:p w14:paraId="48611EC0">
          <w:pPr>
            <w:pStyle w:val="12"/>
            <w:tabs>
              <w:tab w:val="right" w:leader="dot" w:pos="8306"/>
            </w:tabs>
            <w:rPr>
              <w:b/>
              <w:bCs/>
              <w:sz w:val="28"/>
              <w:szCs w:val="28"/>
            </w:rPr>
          </w:pPr>
          <w:r>
            <w:rPr>
              <w:rStyle w:val="17"/>
              <w:rFonts w:hint="eastAsia" w:ascii="宋体" w:hAnsi="宋体" w:eastAsia="宋体" w:cs="宋体"/>
              <w:b/>
              <w:bCs/>
              <w:color w:val="000000" w:themeColor="text1"/>
              <w:sz w:val="28"/>
              <w:szCs w:val="28"/>
              <w14:textFill>
                <w14:solidFill>
                  <w14:schemeClr w14:val="tx1"/>
                </w14:solidFill>
              </w14:textFill>
            </w:rPr>
            <w:fldChar w:fldCharType="begin"/>
          </w:r>
          <w:r>
            <w:rPr>
              <w:rStyle w:val="17"/>
              <w:rFonts w:hint="eastAsia" w:ascii="宋体" w:hAnsi="宋体" w:eastAsia="宋体" w:cs="宋体"/>
              <w:b/>
              <w:bCs/>
              <w:color w:val="000000" w:themeColor="text1"/>
              <w:sz w:val="28"/>
              <w:szCs w:val="28"/>
              <w14:textFill>
                <w14:solidFill>
                  <w14:schemeClr w14:val="tx1"/>
                </w14:solidFill>
              </w14:textFill>
            </w:rPr>
            <w:instrText xml:space="preserve">TOC \o "1-4" \h \u </w:instrText>
          </w:r>
          <w:r>
            <w:rPr>
              <w:rStyle w:val="17"/>
              <w:rFonts w:hint="eastAsia" w:ascii="宋体" w:hAnsi="宋体" w:eastAsia="宋体" w:cs="宋体"/>
              <w:b/>
              <w:bCs/>
              <w:color w:val="000000" w:themeColor="text1"/>
              <w:sz w:val="28"/>
              <w:szCs w:val="28"/>
              <w14:textFill>
                <w14:solidFill>
                  <w14:schemeClr w14:val="tx1"/>
                </w14:solidFill>
              </w14:textFill>
            </w:rPr>
            <w:fldChar w:fldCharType="separate"/>
          </w: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_Toc21269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一、立项来源</w:t>
          </w:r>
          <w:r>
            <w:rPr>
              <w:b/>
              <w:bCs/>
              <w:sz w:val="28"/>
              <w:szCs w:val="28"/>
            </w:rPr>
            <w:tab/>
          </w:r>
          <w:r>
            <w:rPr>
              <w:b/>
              <w:bCs/>
              <w:sz w:val="28"/>
              <w:szCs w:val="28"/>
            </w:rPr>
            <w:fldChar w:fldCharType="begin"/>
          </w:r>
          <w:r>
            <w:rPr>
              <w:b/>
              <w:bCs/>
              <w:sz w:val="28"/>
              <w:szCs w:val="28"/>
            </w:rPr>
            <w:instrText xml:space="preserve"> PAGEREF _Toc21269 \h </w:instrText>
          </w:r>
          <w:r>
            <w:rPr>
              <w:b/>
              <w:bCs/>
              <w:sz w:val="28"/>
              <w:szCs w:val="28"/>
            </w:rPr>
            <w:fldChar w:fldCharType="separate"/>
          </w:r>
          <w:r>
            <w:rPr>
              <w:b/>
              <w:bCs/>
              <w:sz w:val="28"/>
              <w:szCs w:val="28"/>
            </w:rPr>
            <w:t>2</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4D66CD23">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_Toc12253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二、项目目的目标</w:t>
          </w:r>
          <w:r>
            <w:rPr>
              <w:b/>
              <w:bCs/>
              <w:sz w:val="28"/>
              <w:szCs w:val="28"/>
            </w:rPr>
            <w:tab/>
          </w:r>
          <w:r>
            <w:rPr>
              <w:b/>
              <w:bCs/>
              <w:sz w:val="28"/>
              <w:szCs w:val="28"/>
            </w:rPr>
            <w:fldChar w:fldCharType="begin"/>
          </w:r>
          <w:r>
            <w:rPr>
              <w:b/>
              <w:bCs/>
              <w:sz w:val="28"/>
              <w:szCs w:val="28"/>
            </w:rPr>
            <w:instrText xml:space="preserve"> PAGEREF _Toc12253 \h </w:instrText>
          </w:r>
          <w:r>
            <w:rPr>
              <w:b/>
              <w:bCs/>
              <w:sz w:val="28"/>
              <w:szCs w:val="28"/>
            </w:rPr>
            <w:fldChar w:fldCharType="separate"/>
          </w:r>
          <w:r>
            <w:rPr>
              <w:b/>
              <w:bCs/>
              <w:sz w:val="28"/>
              <w:szCs w:val="28"/>
            </w:rPr>
            <w:t>4</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6E2EA1D">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_Toc284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2.1 立项目的</w:t>
          </w:r>
          <w:r>
            <w:rPr>
              <w:b/>
              <w:bCs/>
              <w:sz w:val="28"/>
              <w:szCs w:val="28"/>
            </w:rPr>
            <w:tab/>
          </w:r>
          <w:r>
            <w:rPr>
              <w:b/>
              <w:bCs/>
              <w:sz w:val="28"/>
              <w:szCs w:val="28"/>
            </w:rPr>
            <w:fldChar w:fldCharType="begin"/>
          </w:r>
          <w:r>
            <w:rPr>
              <w:b/>
              <w:bCs/>
              <w:sz w:val="28"/>
              <w:szCs w:val="28"/>
            </w:rPr>
            <w:instrText xml:space="preserve"> PAGEREF _Toc284 \h </w:instrText>
          </w:r>
          <w:r>
            <w:rPr>
              <w:b/>
              <w:bCs/>
              <w:sz w:val="28"/>
              <w:szCs w:val="28"/>
            </w:rPr>
            <w:fldChar w:fldCharType="separate"/>
          </w:r>
          <w:r>
            <w:rPr>
              <w:b/>
              <w:bCs/>
              <w:sz w:val="28"/>
              <w:szCs w:val="28"/>
            </w:rPr>
            <w:t>4</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5D58965">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_Toc3274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2.2 项目目标</w:t>
          </w:r>
          <w:r>
            <w:rPr>
              <w:b/>
              <w:bCs/>
              <w:sz w:val="28"/>
              <w:szCs w:val="28"/>
            </w:rPr>
            <w:tab/>
          </w:r>
          <w:r>
            <w:rPr>
              <w:b/>
              <w:bCs/>
              <w:sz w:val="28"/>
              <w:szCs w:val="28"/>
            </w:rPr>
            <w:fldChar w:fldCharType="begin"/>
          </w:r>
          <w:r>
            <w:rPr>
              <w:b/>
              <w:bCs/>
              <w:sz w:val="28"/>
              <w:szCs w:val="28"/>
            </w:rPr>
            <w:instrText xml:space="preserve"> PAGEREF _Toc3274 \h </w:instrText>
          </w:r>
          <w:r>
            <w:rPr>
              <w:b/>
              <w:bCs/>
              <w:sz w:val="28"/>
              <w:szCs w:val="28"/>
            </w:rPr>
            <w:fldChar w:fldCharType="separate"/>
          </w:r>
          <w:r>
            <w:rPr>
              <w:b/>
              <w:bCs/>
              <w:sz w:val="28"/>
              <w:szCs w:val="28"/>
            </w:rPr>
            <w:t>5</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1739E8EA">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_Toc2293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三、研发项目内容及任务</w:t>
          </w:r>
          <w:r>
            <w:rPr>
              <w:b/>
              <w:bCs/>
              <w:sz w:val="28"/>
              <w:szCs w:val="28"/>
            </w:rPr>
            <w:tab/>
          </w:r>
          <w:r>
            <w:rPr>
              <w:b/>
              <w:bCs/>
              <w:sz w:val="28"/>
              <w:szCs w:val="28"/>
            </w:rPr>
            <w:fldChar w:fldCharType="begin"/>
          </w:r>
          <w:r>
            <w:rPr>
              <w:b/>
              <w:bCs/>
              <w:sz w:val="28"/>
              <w:szCs w:val="28"/>
            </w:rPr>
            <w:instrText xml:space="preserve"> PAGEREF _Toc2293 \h </w:instrText>
          </w:r>
          <w:r>
            <w:rPr>
              <w:b/>
              <w:bCs/>
              <w:sz w:val="28"/>
              <w:szCs w:val="28"/>
            </w:rPr>
            <w:fldChar w:fldCharType="separate"/>
          </w:r>
          <w:r>
            <w:rPr>
              <w:b/>
              <w:bCs/>
              <w:sz w:val="28"/>
              <w:szCs w:val="28"/>
            </w:rPr>
            <w:t>5</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0FEE34F6">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_Toc7808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3.1 技术原理</w:t>
          </w:r>
          <w:r>
            <w:rPr>
              <w:b/>
              <w:bCs/>
              <w:sz w:val="28"/>
              <w:szCs w:val="28"/>
            </w:rPr>
            <w:tab/>
          </w:r>
          <w:r>
            <w:rPr>
              <w:b/>
              <w:bCs/>
              <w:sz w:val="28"/>
              <w:szCs w:val="28"/>
            </w:rPr>
            <w:fldChar w:fldCharType="begin"/>
          </w:r>
          <w:r>
            <w:rPr>
              <w:b/>
              <w:bCs/>
              <w:sz w:val="28"/>
              <w:szCs w:val="28"/>
            </w:rPr>
            <w:instrText xml:space="preserve"> PAGEREF _Toc7808 \h </w:instrText>
          </w:r>
          <w:r>
            <w:rPr>
              <w:b/>
              <w:bCs/>
              <w:sz w:val="28"/>
              <w:szCs w:val="28"/>
            </w:rPr>
            <w:fldChar w:fldCharType="separate"/>
          </w:r>
          <w:r>
            <w:rPr>
              <w:b/>
              <w:bCs/>
              <w:sz w:val="28"/>
              <w:szCs w:val="28"/>
            </w:rPr>
            <w:t>5</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03E9AB65">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_Toc18601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3.2 关键技术以及技术指标</w:t>
          </w:r>
          <w:r>
            <w:rPr>
              <w:b/>
              <w:bCs/>
              <w:sz w:val="28"/>
              <w:szCs w:val="28"/>
            </w:rPr>
            <w:tab/>
          </w:r>
          <w:r>
            <w:rPr>
              <w:b/>
              <w:bCs/>
              <w:sz w:val="28"/>
              <w:szCs w:val="28"/>
            </w:rPr>
            <w:fldChar w:fldCharType="begin"/>
          </w:r>
          <w:r>
            <w:rPr>
              <w:b/>
              <w:bCs/>
              <w:sz w:val="28"/>
              <w:szCs w:val="28"/>
            </w:rPr>
            <w:instrText xml:space="preserve"> PAGEREF _Toc18601 \h </w:instrText>
          </w:r>
          <w:r>
            <w:rPr>
              <w:b/>
              <w:bCs/>
              <w:sz w:val="28"/>
              <w:szCs w:val="28"/>
            </w:rPr>
            <w:fldChar w:fldCharType="separate"/>
          </w:r>
          <w:r>
            <w:rPr>
              <w:b/>
              <w:bCs/>
              <w:sz w:val="28"/>
              <w:szCs w:val="28"/>
            </w:rPr>
            <w:t>6</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CA2D453">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_Toc12038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3.3 主要研究内容</w:t>
          </w:r>
          <w:r>
            <w:rPr>
              <w:b/>
              <w:bCs/>
              <w:sz w:val="28"/>
              <w:szCs w:val="28"/>
            </w:rPr>
            <w:tab/>
          </w:r>
          <w:r>
            <w:rPr>
              <w:b/>
              <w:bCs/>
              <w:sz w:val="28"/>
              <w:szCs w:val="28"/>
            </w:rPr>
            <w:fldChar w:fldCharType="begin"/>
          </w:r>
          <w:r>
            <w:rPr>
              <w:b/>
              <w:bCs/>
              <w:sz w:val="28"/>
              <w:szCs w:val="28"/>
            </w:rPr>
            <w:instrText xml:space="preserve"> PAGEREF _Toc12038 \h </w:instrText>
          </w:r>
          <w:r>
            <w:rPr>
              <w:b/>
              <w:bCs/>
              <w:sz w:val="28"/>
              <w:szCs w:val="28"/>
            </w:rPr>
            <w:fldChar w:fldCharType="separate"/>
          </w:r>
          <w:r>
            <w:rPr>
              <w:b/>
              <w:bCs/>
              <w:sz w:val="28"/>
              <w:szCs w:val="28"/>
            </w:rPr>
            <w:t>7</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A982F92">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_Toc7634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 产品管理（业务顶层抽象）</w:t>
          </w:r>
          <w:r>
            <w:rPr>
              <w:b/>
              <w:bCs/>
              <w:sz w:val="28"/>
              <w:szCs w:val="28"/>
            </w:rPr>
            <w:tab/>
          </w:r>
          <w:r>
            <w:rPr>
              <w:b/>
              <w:bCs/>
              <w:sz w:val="28"/>
              <w:szCs w:val="28"/>
            </w:rPr>
            <w:fldChar w:fldCharType="begin"/>
          </w:r>
          <w:r>
            <w:rPr>
              <w:b/>
              <w:bCs/>
              <w:sz w:val="28"/>
              <w:szCs w:val="28"/>
            </w:rPr>
            <w:instrText xml:space="preserve"> PAGEREF _Toc7634 \h </w:instrText>
          </w:r>
          <w:r>
            <w:rPr>
              <w:b/>
              <w:bCs/>
              <w:sz w:val="28"/>
              <w:szCs w:val="28"/>
            </w:rPr>
            <w:fldChar w:fldCharType="separate"/>
          </w:r>
          <w:r>
            <w:rPr>
              <w:b/>
              <w:bCs/>
              <w:sz w:val="28"/>
              <w:szCs w:val="28"/>
            </w:rPr>
            <w:t>8</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366AF71">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_Toc14963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 模板管理（资金方类/平台类）</w:t>
          </w:r>
          <w:r>
            <w:rPr>
              <w:b/>
              <w:bCs/>
              <w:sz w:val="28"/>
              <w:szCs w:val="28"/>
            </w:rPr>
            <w:tab/>
          </w:r>
          <w:r>
            <w:rPr>
              <w:b/>
              <w:bCs/>
              <w:sz w:val="28"/>
              <w:szCs w:val="28"/>
            </w:rPr>
            <w:fldChar w:fldCharType="begin"/>
          </w:r>
          <w:r>
            <w:rPr>
              <w:b/>
              <w:bCs/>
              <w:sz w:val="28"/>
              <w:szCs w:val="28"/>
            </w:rPr>
            <w:instrText xml:space="preserve"> PAGEREF _Toc14963 \h </w:instrText>
          </w:r>
          <w:r>
            <w:rPr>
              <w:b/>
              <w:bCs/>
              <w:sz w:val="28"/>
              <w:szCs w:val="28"/>
            </w:rPr>
            <w:fldChar w:fldCharType="separate"/>
          </w:r>
          <w:r>
            <w:rPr>
              <w:b/>
              <w:bCs/>
              <w:sz w:val="28"/>
              <w:szCs w:val="28"/>
            </w:rPr>
            <w:t>8</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6CED434A">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_Toc32114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 平台模板管理</w:t>
          </w:r>
          <w:r>
            <w:rPr>
              <w:b/>
              <w:bCs/>
              <w:sz w:val="28"/>
              <w:szCs w:val="28"/>
            </w:rPr>
            <w:tab/>
          </w:r>
          <w:r>
            <w:rPr>
              <w:b/>
              <w:bCs/>
              <w:sz w:val="28"/>
              <w:szCs w:val="28"/>
            </w:rPr>
            <w:fldChar w:fldCharType="begin"/>
          </w:r>
          <w:r>
            <w:rPr>
              <w:b/>
              <w:bCs/>
              <w:sz w:val="28"/>
              <w:szCs w:val="28"/>
            </w:rPr>
            <w:instrText xml:space="preserve"> PAGEREF _Toc32114 \h </w:instrText>
          </w:r>
          <w:r>
            <w:rPr>
              <w:b/>
              <w:bCs/>
              <w:sz w:val="28"/>
              <w:szCs w:val="28"/>
            </w:rPr>
            <w:fldChar w:fldCharType="separate"/>
          </w:r>
          <w:r>
            <w:rPr>
              <w:b/>
              <w:bCs/>
              <w:sz w:val="28"/>
              <w:szCs w:val="28"/>
            </w:rPr>
            <w:t>8</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3D0B8D71">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_Toc11771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4. 变量管理（标准化数据字典）</w:t>
          </w:r>
          <w:r>
            <w:rPr>
              <w:b/>
              <w:bCs/>
              <w:sz w:val="28"/>
              <w:szCs w:val="28"/>
            </w:rPr>
            <w:tab/>
          </w:r>
          <w:r>
            <w:rPr>
              <w:b/>
              <w:bCs/>
              <w:sz w:val="28"/>
              <w:szCs w:val="28"/>
            </w:rPr>
            <w:fldChar w:fldCharType="begin"/>
          </w:r>
          <w:r>
            <w:rPr>
              <w:b/>
              <w:bCs/>
              <w:sz w:val="28"/>
              <w:szCs w:val="28"/>
            </w:rPr>
            <w:instrText xml:space="preserve"> PAGEREF _Toc11771 \h </w:instrText>
          </w:r>
          <w:r>
            <w:rPr>
              <w:b/>
              <w:bCs/>
              <w:sz w:val="28"/>
              <w:szCs w:val="28"/>
            </w:rPr>
            <w:fldChar w:fldCharType="separate"/>
          </w:r>
          <w:r>
            <w:rPr>
              <w:b/>
              <w:bCs/>
              <w:sz w:val="28"/>
              <w:szCs w:val="28"/>
            </w:rPr>
            <w:t>9</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1354C63C">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_Toc9022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5. 合同管理查询（存证与检索）</w:t>
          </w:r>
          <w:r>
            <w:rPr>
              <w:b/>
              <w:bCs/>
              <w:sz w:val="28"/>
              <w:szCs w:val="28"/>
            </w:rPr>
            <w:tab/>
          </w:r>
          <w:r>
            <w:rPr>
              <w:b/>
              <w:bCs/>
              <w:sz w:val="28"/>
              <w:szCs w:val="28"/>
            </w:rPr>
            <w:fldChar w:fldCharType="begin"/>
          </w:r>
          <w:r>
            <w:rPr>
              <w:b/>
              <w:bCs/>
              <w:sz w:val="28"/>
              <w:szCs w:val="28"/>
            </w:rPr>
            <w:instrText xml:space="preserve"> PAGEREF _Toc9022 \h </w:instrText>
          </w:r>
          <w:r>
            <w:rPr>
              <w:b/>
              <w:bCs/>
              <w:sz w:val="28"/>
              <w:szCs w:val="28"/>
            </w:rPr>
            <w:fldChar w:fldCharType="separate"/>
          </w:r>
          <w:r>
            <w:rPr>
              <w:b/>
              <w:bCs/>
              <w:sz w:val="28"/>
              <w:szCs w:val="28"/>
            </w:rPr>
            <w:t>9</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7AD23368">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_Toc5260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 签章记录查询（全链路监控）</w:t>
          </w:r>
          <w:r>
            <w:rPr>
              <w:b/>
              <w:bCs/>
              <w:sz w:val="28"/>
              <w:szCs w:val="28"/>
            </w:rPr>
            <w:tab/>
          </w:r>
          <w:r>
            <w:rPr>
              <w:b/>
              <w:bCs/>
              <w:sz w:val="28"/>
              <w:szCs w:val="28"/>
            </w:rPr>
            <w:fldChar w:fldCharType="begin"/>
          </w:r>
          <w:r>
            <w:rPr>
              <w:b/>
              <w:bCs/>
              <w:sz w:val="28"/>
              <w:szCs w:val="28"/>
            </w:rPr>
            <w:instrText xml:space="preserve"> PAGEREF _Toc5260 \h </w:instrText>
          </w:r>
          <w:r>
            <w:rPr>
              <w:b/>
              <w:bCs/>
              <w:sz w:val="28"/>
              <w:szCs w:val="28"/>
            </w:rPr>
            <w:fldChar w:fldCharType="separate"/>
          </w:r>
          <w:r>
            <w:rPr>
              <w:b/>
              <w:bCs/>
              <w:sz w:val="28"/>
              <w:szCs w:val="28"/>
            </w:rPr>
            <w:t>9</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4D3AF03D">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_Toc23629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7. 字典管理（系统参数配置）</w:t>
          </w:r>
          <w:r>
            <w:rPr>
              <w:b/>
              <w:bCs/>
              <w:sz w:val="28"/>
              <w:szCs w:val="28"/>
            </w:rPr>
            <w:tab/>
          </w:r>
          <w:r>
            <w:rPr>
              <w:b/>
              <w:bCs/>
              <w:sz w:val="28"/>
              <w:szCs w:val="28"/>
            </w:rPr>
            <w:fldChar w:fldCharType="begin"/>
          </w:r>
          <w:r>
            <w:rPr>
              <w:b/>
              <w:bCs/>
              <w:sz w:val="28"/>
              <w:szCs w:val="28"/>
            </w:rPr>
            <w:instrText xml:space="preserve"> PAGEREF _Toc23629 \h </w:instrText>
          </w:r>
          <w:r>
            <w:rPr>
              <w:b/>
              <w:bCs/>
              <w:sz w:val="28"/>
              <w:szCs w:val="28"/>
            </w:rPr>
            <w:fldChar w:fldCharType="separate"/>
          </w:r>
          <w:r>
            <w:rPr>
              <w:b/>
              <w:bCs/>
              <w:sz w:val="28"/>
              <w:szCs w:val="28"/>
            </w:rPr>
            <w:t>10</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6EA6D0C5">
          <w:pPr>
            <w:pStyle w:val="11"/>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_Toc17721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8. PDF手动签章（非标业务支持）</w:t>
          </w:r>
          <w:r>
            <w:rPr>
              <w:b/>
              <w:bCs/>
              <w:sz w:val="28"/>
              <w:szCs w:val="28"/>
            </w:rPr>
            <w:tab/>
          </w:r>
          <w:r>
            <w:rPr>
              <w:b/>
              <w:bCs/>
              <w:sz w:val="28"/>
              <w:szCs w:val="28"/>
            </w:rPr>
            <w:fldChar w:fldCharType="begin"/>
          </w:r>
          <w:r>
            <w:rPr>
              <w:b/>
              <w:bCs/>
              <w:sz w:val="28"/>
              <w:szCs w:val="28"/>
            </w:rPr>
            <w:instrText xml:space="preserve"> PAGEREF _Toc17721 \h </w:instrText>
          </w:r>
          <w:r>
            <w:rPr>
              <w:b/>
              <w:bCs/>
              <w:sz w:val="28"/>
              <w:szCs w:val="28"/>
            </w:rPr>
            <w:fldChar w:fldCharType="separate"/>
          </w:r>
          <w:r>
            <w:rPr>
              <w:b/>
              <w:bCs/>
              <w:sz w:val="28"/>
              <w:szCs w:val="28"/>
            </w:rPr>
            <w:t>10</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199A4D0A">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_Toc20570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3.4 研发项目的创新点</w:t>
          </w:r>
          <w:r>
            <w:rPr>
              <w:b/>
              <w:bCs/>
              <w:sz w:val="28"/>
              <w:szCs w:val="28"/>
            </w:rPr>
            <w:tab/>
          </w:r>
          <w:r>
            <w:rPr>
              <w:b/>
              <w:bCs/>
              <w:sz w:val="28"/>
              <w:szCs w:val="28"/>
            </w:rPr>
            <w:fldChar w:fldCharType="begin"/>
          </w:r>
          <w:r>
            <w:rPr>
              <w:b/>
              <w:bCs/>
              <w:sz w:val="28"/>
              <w:szCs w:val="28"/>
            </w:rPr>
            <w:instrText xml:space="preserve"> PAGEREF _Toc20570 \h </w:instrText>
          </w:r>
          <w:r>
            <w:rPr>
              <w:b/>
              <w:bCs/>
              <w:sz w:val="28"/>
              <w:szCs w:val="28"/>
            </w:rPr>
            <w:fldChar w:fldCharType="separate"/>
          </w:r>
          <w:r>
            <w:rPr>
              <w:b/>
              <w:bCs/>
              <w:sz w:val="28"/>
              <w:szCs w:val="28"/>
            </w:rPr>
            <w:t>10</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25A4B8E5">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_Toc2556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四、总体实施方案</w:t>
          </w:r>
          <w:r>
            <w:rPr>
              <w:b/>
              <w:bCs/>
              <w:sz w:val="28"/>
              <w:szCs w:val="28"/>
            </w:rPr>
            <w:tab/>
          </w:r>
          <w:r>
            <w:rPr>
              <w:b/>
              <w:bCs/>
              <w:sz w:val="28"/>
              <w:szCs w:val="28"/>
            </w:rPr>
            <w:fldChar w:fldCharType="begin"/>
          </w:r>
          <w:r>
            <w:rPr>
              <w:b/>
              <w:bCs/>
              <w:sz w:val="28"/>
              <w:szCs w:val="28"/>
            </w:rPr>
            <w:instrText xml:space="preserve"> PAGEREF _Toc2556 \h </w:instrText>
          </w:r>
          <w:r>
            <w:rPr>
              <w:b/>
              <w:bCs/>
              <w:sz w:val="28"/>
              <w:szCs w:val="28"/>
            </w:rPr>
            <w:fldChar w:fldCharType="separate"/>
          </w:r>
          <w:r>
            <w:rPr>
              <w:b/>
              <w:bCs/>
              <w:sz w:val="28"/>
              <w:szCs w:val="28"/>
            </w:rPr>
            <w:t>11</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781EF2A3">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_Toc1524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五、可行性论证</w:t>
          </w:r>
          <w:r>
            <w:rPr>
              <w:b/>
              <w:bCs/>
              <w:sz w:val="28"/>
              <w:szCs w:val="28"/>
            </w:rPr>
            <w:tab/>
          </w:r>
          <w:r>
            <w:rPr>
              <w:b/>
              <w:bCs/>
              <w:sz w:val="28"/>
              <w:szCs w:val="28"/>
            </w:rPr>
            <w:fldChar w:fldCharType="begin"/>
          </w:r>
          <w:r>
            <w:rPr>
              <w:b/>
              <w:bCs/>
              <w:sz w:val="28"/>
              <w:szCs w:val="28"/>
            </w:rPr>
            <w:instrText xml:space="preserve"> PAGEREF _Toc1524 \h </w:instrText>
          </w:r>
          <w:r>
            <w:rPr>
              <w:b/>
              <w:bCs/>
              <w:sz w:val="28"/>
              <w:szCs w:val="28"/>
            </w:rPr>
            <w:fldChar w:fldCharType="separate"/>
          </w:r>
          <w:r>
            <w:rPr>
              <w:b/>
              <w:bCs/>
              <w:sz w:val="28"/>
              <w:szCs w:val="28"/>
            </w:rPr>
            <w:t>12</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B90E925">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_Toc10655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5.1 可行性研究方法</w:t>
          </w:r>
          <w:r>
            <w:rPr>
              <w:b/>
              <w:bCs/>
              <w:sz w:val="28"/>
              <w:szCs w:val="28"/>
            </w:rPr>
            <w:tab/>
          </w:r>
          <w:r>
            <w:rPr>
              <w:b/>
              <w:bCs/>
              <w:sz w:val="28"/>
              <w:szCs w:val="28"/>
            </w:rPr>
            <w:fldChar w:fldCharType="begin"/>
          </w:r>
          <w:r>
            <w:rPr>
              <w:b/>
              <w:bCs/>
              <w:sz w:val="28"/>
              <w:szCs w:val="28"/>
            </w:rPr>
            <w:instrText xml:space="preserve"> PAGEREF _Toc10655 \h </w:instrText>
          </w:r>
          <w:r>
            <w:rPr>
              <w:b/>
              <w:bCs/>
              <w:sz w:val="28"/>
              <w:szCs w:val="28"/>
            </w:rPr>
            <w:fldChar w:fldCharType="separate"/>
          </w:r>
          <w:r>
            <w:rPr>
              <w:b/>
              <w:bCs/>
              <w:sz w:val="28"/>
              <w:szCs w:val="28"/>
            </w:rPr>
            <w:t>12</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2B1264BF">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_Toc340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5.2 决定可行性的主要因素</w:t>
          </w:r>
          <w:r>
            <w:rPr>
              <w:b/>
              <w:bCs/>
              <w:sz w:val="28"/>
              <w:szCs w:val="28"/>
            </w:rPr>
            <w:tab/>
          </w:r>
          <w:r>
            <w:rPr>
              <w:b/>
              <w:bCs/>
              <w:sz w:val="28"/>
              <w:szCs w:val="28"/>
            </w:rPr>
            <w:fldChar w:fldCharType="begin"/>
          </w:r>
          <w:r>
            <w:rPr>
              <w:b/>
              <w:bCs/>
              <w:sz w:val="28"/>
              <w:szCs w:val="28"/>
            </w:rPr>
            <w:instrText xml:space="preserve"> PAGEREF _Toc340 \h </w:instrText>
          </w:r>
          <w:r>
            <w:rPr>
              <w:b/>
              <w:bCs/>
              <w:sz w:val="28"/>
              <w:szCs w:val="28"/>
            </w:rPr>
            <w:fldChar w:fldCharType="separate"/>
          </w:r>
          <w:r>
            <w:rPr>
              <w:b/>
              <w:bCs/>
              <w:sz w:val="28"/>
              <w:szCs w:val="28"/>
            </w:rPr>
            <w:t>12</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70C1738A">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_Toc21959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六、技术路线</w:t>
          </w:r>
          <w:r>
            <w:rPr>
              <w:b/>
              <w:bCs/>
              <w:sz w:val="28"/>
              <w:szCs w:val="28"/>
            </w:rPr>
            <w:tab/>
          </w:r>
          <w:r>
            <w:rPr>
              <w:b/>
              <w:bCs/>
              <w:sz w:val="28"/>
              <w:szCs w:val="28"/>
            </w:rPr>
            <w:fldChar w:fldCharType="begin"/>
          </w:r>
          <w:r>
            <w:rPr>
              <w:b/>
              <w:bCs/>
              <w:sz w:val="28"/>
              <w:szCs w:val="28"/>
            </w:rPr>
            <w:instrText xml:space="preserve"> PAGEREF _Toc21959 \h </w:instrText>
          </w:r>
          <w:r>
            <w:rPr>
              <w:b/>
              <w:bCs/>
              <w:sz w:val="28"/>
              <w:szCs w:val="28"/>
            </w:rPr>
            <w:fldChar w:fldCharType="separate"/>
          </w:r>
          <w:r>
            <w:rPr>
              <w:b/>
              <w:bCs/>
              <w:sz w:val="28"/>
              <w:szCs w:val="28"/>
            </w:rPr>
            <w:t>13</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629C5D32">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_Toc6827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6.1 业务架构图</w:t>
          </w:r>
          <w:r>
            <w:rPr>
              <w:b/>
              <w:bCs/>
              <w:sz w:val="28"/>
              <w:szCs w:val="28"/>
            </w:rPr>
            <w:tab/>
          </w:r>
          <w:r>
            <w:rPr>
              <w:b/>
              <w:bCs/>
              <w:sz w:val="28"/>
              <w:szCs w:val="28"/>
            </w:rPr>
            <w:fldChar w:fldCharType="begin"/>
          </w:r>
          <w:r>
            <w:rPr>
              <w:b/>
              <w:bCs/>
              <w:sz w:val="28"/>
              <w:szCs w:val="28"/>
            </w:rPr>
            <w:instrText xml:space="preserve"> PAGEREF _Toc6827 \h </w:instrText>
          </w:r>
          <w:r>
            <w:rPr>
              <w:b/>
              <w:bCs/>
              <w:sz w:val="28"/>
              <w:szCs w:val="28"/>
            </w:rPr>
            <w:fldChar w:fldCharType="separate"/>
          </w:r>
          <w:r>
            <w:rPr>
              <w:b/>
              <w:bCs/>
              <w:sz w:val="28"/>
              <w:szCs w:val="28"/>
            </w:rPr>
            <w:t>13</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54B69CAF">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_Toc18036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6.2 技术架构图</w:t>
          </w:r>
          <w:r>
            <w:rPr>
              <w:b/>
              <w:bCs/>
              <w:sz w:val="28"/>
              <w:szCs w:val="28"/>
            </w:rPr>
            <w:tab/>
          </w:r>
          <w:r>
            <w:rPr>
              <w:b/>
              <w:bCs/>
              <w:sz w:val="28"/>
              <w:szCs w:val="28"/>
            </w:rPr>
            <w:fldChar w:fldCharType="begin"/>
          </w:r>
          <w:r>
            <w:rPr>
              <w:b/>
              <w:bCs/>
              <w:sz w:val="28"/>
              <w:szCs w:val="28"/>
            </w:rPr>
            <w:instrText xml:space="preserve"> PAGEREF _Toc18036 \h </w:instrText>
          </w:r>
          <w:r>
            <w:rPr>
              <w:b/>
              <w:bCs/>
              <w:sz w:val="28"/>
              <w:szCs w:val="28"/>
            </w:rPr>
            <w:fldChar w:fldCharType="separate"/>
          </w:r>
          <w:r>
            <w:rPr>
              <w:b/>
              <w:bCs/>
              <w:sz w:val="28"/>
              <w:szCs w:val="28"/>
            </w:rPr>
            <w:t>13</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42B6B062">
          <w:pPr>
            <w:pStyle w:val="13"/>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_Toc20525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6.3 系统部署图</w:t>
          </w:r>
          <w:r>
            <w:rPr>
              <w:b/>
              <w:bCs/>
              <w:sz w:val="28"/>
              <w:szCs w:val="28"/>
            </w:rPr>
            <w:tab/>
          </w:r>
          <w:r>
            <w:rPr>
              <w:b/>
              <w:bCs/>
              <w:sz w:val="28"/>
              <w:szCs w:val="28"/>
            </w:rPr>
            <w:fldChar w:fldCharType="begin"/>
          </w:r>
          <w:r>
            <w:rPr>
              <w:b/>
              <w:bCs/>
              <w:sz w:val="28"/>
              <w:szCs w:val="28"/>
            </w:rPr>
            <w:instrText xml:space="preserve"> PAGEREF _Toc20525 \h </w:instrText>
          </w:r>
          <w:r>
            <w:rPr>
              <w:b/>
              <w:bCs/>
              <w:sz w:val="28"/>
              <w:szCs w:val="28"/>
            </w:rPr>
            <w:fldChar w:fldCharType="separate"/>
          </w:r>
          <w:r>
            <w:rPr>
              <w:b/>
              <w:bCs/>
              <w:sz w:val="28"/>
              <w:szCs w:val="28"/>
            </w:rPr>
            <w:t>14</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794ABA4C">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_Toc22136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七、进度计划</w:t>
          </w:r>
          <w:r>
            <w:rPr>
              <w:b/>
              <w:bCs/>
              <w:sz w:val="28"/>
              <w:szCs w:val="28"/>
            </w:rPr>
            <w:tab/>
          </w:r>
          <w:r>
            <w:rPr>
              <w:b/>
              <w:bCs/>
              <w:sz w:val="28"/>
              <w:szCs w:val="28"/>
            </w:rPr>
            <w:fldChar w:fldCharType="begin"/>
          </w:r>
          <w:r>
            <w:rPr>
              <w:b/>
              <w:bCs/>
              <w:sz w:val="28"/>
              <w:szCs w:val="28"/>
            </w:rPr>
            <w:instrText xml:space="preserve"> PAGEREF _Toc22136 \h </w:instrText>
          </w:r>
          <w:r>
            <w:rPr>
              <w:b/>
              <w:bCs/>
              <w:sz w:val="28"/>
              <w:szCs w:val="28"/>
            </w:rPr>
            <w:fldChar w:fldCharType="separate"/>
          </w:r>
          <w:r>
            <w:rPr>
              <w:b/>
              <w:bCs/>
              <w:sz w:val="28"/>
              <w:szCs w:val="28"/>
            </w:rPr>
            <w:t>14</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3543BFB0">
          <w:pPr>
            <w:pStyle w:val="12"/>
            <w:tabs>
              <w:tab w:val="right" w:leader="dot" w:pos="8306"/>
            </w:tabs>
            <w:rPr>
              <w:b/>
              <w:bCs/>
              <w:sz w:val="28"/>
              <w:szCs w:val="28"/>
            </w:rPr>
          </w:pPr>
          <w:r>
            <w:rPr>
              <w:rFonts w:hint="eastAsia" w:ascii="宋体" w:hAnsi="宋体" w:eastAsia="宋体" w:cs="宋体"/>
              <w:b/>
              <w:bCs/>
              <w:color w:val="000000" w:themeColor="text1"/>
              <w:sz w:val="28"/>
              <w:szCs w:val="28"/>
              <w14:textFill>
                <w14:solidFill>
                  <w14:schemeClr w14:val="tx1"/>
                </w14:solidFill>
              </w14:textFill>
            </w:rPr>
            <w:fldChar w:fldCharType="begin"/>
          </w:r>
          <w:r>
            <w:rPr>
              <w:rFonts w:hint="eastAsia" w:ascii="宋体" w:hAnsi="宋体" w:eastAsia="宋体" w:cs="宋体"/>
              <w:b/>
              <w:bCs/>
              <w:sz w:val="28"/>
              <w:szCs w:val="28"/>
            </w:rPr>
            <w:instrText xml:space="preserve"> HYPERLINK \l _Toc14627 </w:instrText>
          </w:r>
          <w:r>
            <w:rPr>
              <w:rFonts w:hint="eastAsia" w:ascii="宋体" w:hAnsi="宋体" w:eastAsia="宋体" w:cs="宋体"/>
              <w:b/>
              <w:bCs/>
              <w:sz w:val="28"/>
              <w:szCs w:val="28"/>
            </w:rPr>
            <w:fldChar w:fldCharType="separate"/>
          </w:r>
          <w:r>
            <w:rPr>
              <w:rFonts w:hint="eastAsia" w:ascii="宋体" w:hAnsi="宋体" w:eastAsia="宋体" w:cs="宋体"/>
              <w:b/>
              <w:bCs/>
              <w:kern w:val="0"/>
              <w:sz w:val="28"/>
              <w:szCs w:val="28"/>
              <w:lang w:val="en-US" w:eastAsia="zh-CN" w:bidi="ar"/>
            </w:rPr>
            <w:t>八、研发项目费用预计</w:t>
          </w:r>
          <w:r>
            <w:rPr>
              <w:b/>
              <w:bCs/>
              <w:sz w:val="28"/>
              <w:szCs w:val="28"/>
            </w:rPr>
            <w:tab/>
          </w:r>
          <w:r>
            <w:rPr>
              <w:b/>
              <w:bCs/>
              <w:sz w:val="28"/>
              <w:szCs w:val="28"/>
            </w:rPr>
            <w:fldChar w:fldCharType="begin"/>
          </w:r>
          <w:r>
            <w:rPr>
              <w:b/>
              <w:bCs/>
              <w:sz w:val="28"/>
              <w:szCs w:val="28"/>
            </w:rPr>
            <w:instrText xml:space="preserve"> PAGEREF _Toc14627 \h </w:instrText>
          </w:r>
          <w:r>
            <w:rPr>
              <w:b/>
              <w:bCs/>
              <w:sz w:val="28"/>
              <w:szCs w:val="28"/>
            </w:rPr>
            <w:fldChar w:fldCharType="separate"/>
          </w:r>
          <w:r>
            <w:rPr>
              <w:b/>
              <w:bCs/>
              <w:sz w:val="28"/>
              <w:szCs w:val="28"/>
            </w:rPr>
            <w:t>15</w:t>
          </w:r>
          <w:r>
            <w:rPr>
              <w:b/>
              <w:bCs/>
              <w:sz w:val="28"/>
              <w:szCs w:val="28"/>
            </w:rPr>
            <w:fldChar w:fldCharType="end"/>
          </w:r>
          <w:r>
            <w:rPr>
              <w:rFonts w:hint="eastAsia" w:ascii="宋体" w:hAnsi="宋体" w:eastAsia="宋体" w:cs="宋体"/>
              <w:b/>
              <w:bCs/>
              <w:color w:val="000000" w:themeColor="text1"/>
              <w:sz w:val="28"/>
              <w:szCs w:val="28"/>
              <w14:textFill>
                <w14:solidFill>
                  <w14:schemeClr w14:val="tx1"/>
                </w14:solidFill>
              </w14:textFill>
            </w:rPr>
            <w:fldChar w:fldCharType="end"/>
          </w:r>
        </w:p>
        <w:p w14:paraId="03F3E1DF">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kern w:val="0"/>
              <w:sz w:val="24"/>
              <w:szCs w:val="28"/>
              <w:lang w:val="en-US" w:eastAsia="zh-CN" w:bidi="ar"/>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fldChar w:fldCharType="end"/>
          </w:r>
        </w:p>
      </w:sdtContent>
    </w:sdt>
    <w:p w14:paraId="4692C8BF">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kern w:val="0"/>
          <w:sz w:val="24"/>
          <w:szCs w:val="28"/>
          <w:lang w:val="en-US" w:eastAsia="zh-CN" w:bidi="ar"/>
          <w14:textFill>
            <w14:solidFill>
              <w14:schemeClr w14:val="tx1"/>
            </w14:solidFill>
          </w14:textFill>
        </w:rPr>
      </w:pPr>
    </w:p>
    <w:p w14:paraId="25F30D8B">
      <w:pPr>
        <w:rPr>
          <w:rStyle w:val="17"/>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br w:type="page"/>
      </w:r>
    </w:p>
    <w:p w14:paraId="4D59E4F4">
      <w:pPr>
        <w:pStyle w:val="14"/>
        <w:keepNext w:val="0"/>
        <w:keepLines w:val="0"/>
        <w:widowControl/>
        <w:suppressLineNumbers w:val="0"/>
        <w:spacing w:before="0" w:beforeAutospacing="0" w:after="0" w:afterAutospacing="0" w:line="240" w:lineRule="auto"/>
        <w:ind w:left="0" w:right="0"/>
        <w:rPr>
          <w:rStyle w:val="17"/>
          <w:rFonts w:hint="eastAsia" w:ascii="宋体" w:hAnsi="宋体" w:eastAsia="宋体" w:cs="宋体"/>
          <w:color w:val="000000" w:themeColor="text1"/>
          <w:sz w:val="28"/>
          <w:szCs w:val="28"/>
          <w14:textFill>
            <w14:solidFill>
              <w14:schemeClr w14:val="tx1"/>
            </w14:solidFill>
          </w14:textFill>
        </w:rPr>
      </w:pPr>
    </w:p>
    <w:p w14:paraId="5184F98E">
      <w:pPr>
        <w:pStyle w:val="14"/>
        <w:keepNext w:val="0"/>
        <w:keepLines w:val="0"/>
        <w:widowControl/>
        <w:suppressLineNumbers w:val="0"/>
        <w:spacing w:before="0" w:beforeAutospacing="0" w:after="0" w:afterAutospacing="0" w:line="240" w:lineRule="auto"/>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 </w:t>
      </w:r>
    </w:p>
    <w:p w14:paraId="2BF51A00">
      <w:pPr>
        <w:pStyle w:val="14"/>
        <w:keepNext w:val="0"/>
        <w:keepLines w:val="0"/>
        <w:widowControl/>
        <w:suppressLineNumbers w:val="0"/>
        <w:spacing w:before="0" w:beforeAutospacing="0" w:after="0" w:afterAutospacing="0" w:line="240" w:lineRule="auto"/>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 </w:t>
      </w:r>
    </w:p>
    <w:p w14:paraId="47117D16">
      <w:pPr>
        <w:pStyle w:val="2"/>
        <w:bidi w:val="0"/>
        <w:rPr>
          <w:rFonts w:hint="eastAsia"/>
        </w:rPr>
      </w:pPr>
      <w:bookmarkStart w:id="0" w:name="_Toc21269"/>
      <w:r>
        <w:rPr>
          <w:rFonts w:hint="eastAsia"/>
          <w:b/>
          <w:bCs/>
          <w:lang w:val="en-US" w:eastAsia="zh-CN"/>
        </w:rPr>
        <w:t>一、立项来源</w:t>
      </w:r>
      <w:bookmarkEnd w:id="0"/>
    </w:p>
    <w:p w14:paraId="6FCDF18A">
      <w:pPr>
        <w:pStyle w:val="14"/>
        <w:keepNext w:val="0"/>
        <w:keepLines w:val="0"/>
        <w:widowControl/>
        <w:suppressLineNumbers w:val="0"/>
        <w:spacing w:before="0" w:beforeAutospacing="0" w:after="0" w:afterAutospacing="0" w:line="240" w:lineRule="auto"/>
        <w:ind w:left="0" w:right="0"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随着全球数字化浪潮的推进和我国《电子签名法》的日益完善，电子合同与电子签章技术已成为企业数字化转型不可或缺的基础设施。在金融科技、供应链金融、B2B/B2C电子商务等领域，传统的纸质合同签署方式因效率低下、成本高昂、流转周期长以及存证难等问题，已严重制约了业务的快速发展。特别是在信贷助贷、融资租赁等金融业务场景中，高频次、大批量的合同签署需求对签约系统的稳定性、合规性及灵活性提出了极高的要求。</w:t>
      </w:r>
    </w:p>
    <w:p w14:paraId="4F95DC71">
      <w:pPr>
        <w:pStyle w:val="14"/>
        <w:keepNext w:val="0"/>
        <w:keepLines w:val="0"/>
        <w:widowControl/>
        <w:suppressLineNumbers w:val="0"/>
        <w:spacing w:before="0" w:beforeAutospacing="0" w:after="0" w:afterAutospacing="0" w:line="240" w:lineRule="auto"/>
        <w:ind w:left="0" w:right="0"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北京君禾世纪科技有限公司（以下简称“公司”）作为一家深耕金融科技领域的企业，内部拥有多条业务线（如消费金融、供应链金融、房抵贷等），涉及众多的资金方合作（银行、信托、消金公司）。目前，公司的电子签约能力分散在各个业务系统中，呈现出“烟囱式”的建设特征。每当新接入一家资金方或推出一款新产品时，往往需要重新开发一套签约流程，对接不同的CA机构或第三方签章服务。这种分散的建设模式导致了诸多痛点：</w:t>
      </w:r>
    </w:p>
    <w:p w14:paraId="1AFB26D8">
      <w:pPr>
        <w:keepNext w:val="0"/>
        <w:keepLines w:val="0"/>
        <w:widowControl/>
        <w:numPr>
          <w:ilvl w:val="0"/>
          <w:numId w:val="0"/>
        </w:numPr>
        <w:suppressLineNumbers w:val="0"/>
        <w:spacing w:before="0" w:beforeAutospacing="0" w:after="0" w:afterAutospacing="0" w:line="26" w:lineRule="atLeast"/>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各业务线独立建设签章模块，导致底层技术（如PDF渲染、CA对接、印章管理）重复开发，研发资源浪费严重。</w:t>
      </w:r>
    </w:p>
    <w:p w14:paraId="13A55ED7">
      <w:pPr>
        <w:keepNext w:val="0"/>
        <w:keepLines w:val="0"/>
        <w:widowControl/>
        <w:numPr>
          <w:ilvl w:val="0"/>
          <w:numId w:val="0"/>
        </w:numPr>
        <w:suppressLineNumbers w:val="0"/>
        <w:spacing w:before="0" w:beforeAutospacing="0" w:after="0" w:afterAutospacing="0" w:line="26" w:lineRule="atLeast"/>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面对资金方频繁变更的协议模板（如利率调整、条款修订），传统硬编码的开发模式需要研发人员介入修改代码并重新发版，响应周期长，难以满足市场敏捷变化的需求。</w:t>
      </w:r>
    </w:p>
    <w:p w14:paraId="37AA4552">
      <w:pPr>
        <w:keepNext w:val="0"/>
        <w:keepLines w:val="0"/>
        <w:widowControl/>
        <w:numPr>
          <w:ilvl w:val="0"/>
          <w:numId w:val="0"/>
        </w:numPr>
        <w:suppressLineNumbers w:val="0"/>
        <w:spacing w:before="0" w:beforeAutospacing="0" w:after="0" w:afterAutospacing="0" w:line="26" w:lineRule="atLeast"/>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缺乏统一的合同模板版本管理和全链路证据留存机制，一旦发生法律纠纷，难以快速调取确凿的电子证据链（如签署时的确切条款版本、用户签署轨迹）。</w:t>
      </w:r>
    </w:p>
    <w:p w14:paraId="7D2F5269">
      <w:pPr>
        <w:keepNext w:val="0"/>
        <w:keepLines w:val="0"/>
        <w:widowControl/>
        <w:numPr>
          <w:ilvl w:val="0"/>
          <w:numId w:val="0"/>
        </w:numPr>
        <w:suppressLineNumbers w:val="0"/>
        <w:spacing w:before="0" w:beforeAutospacing="0" w:after="0" w:afterAutospacing="0" w:line="26" w:lineRule="atLeast"/>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分散的系统架构使得运维难度大，印章管理分散，存在私盖萝卜章的风险。</w:t>
      </w:r>
    </w:p>
    <w:p w14:paraId="06E6E9DD">
      <w:pPr>
        <w:pStyle w:val="14"/>
        <w:keepNext w:val="0"/>
        <w:keepLines w:val="0"/>
        <w:widowControl/>
        <w:suppressLineNumbers w:val="0"/>
        <w:spacing w:before="0" w:beforeAutospacing="0" w:after="0" w:afterAutospacing="0" w:line="240" w:lineRule="auto"/>
        <w:ind w:left="0" w:right="0"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了彻底解决上述问题，构建企业级统一的电子签约能力，提升运营效率，降低合规风险，公司决定立项开发“通用中台智签宝系统”。该系统定位为公司共享服务云平台的核心组件，旨在打造一个集“模板可视化配置、变量动态映射、多渠道签章集成、全链路证据留存”于一体的智能化电子签约中台。通过高度抽象的业务模型和灵活的配置能力，实现对“产品-模板-变量-签章”全生命周期的精细化管理，支撑公司未来3-5年的业务高速发展。</w:t>
      </w:r>
    </w:p>
    <w:p w14:paraId="24981FE6">
      <w:pPr>
        <w:pStyle w:val="2"/>
        <w:bidi w:val="0"/>
        <w:rPr>
          <w:rFonts w:hint="eastAsia"/>
          <w:b/>
          <w:bCs/>
        </w:rPr>
      </w:pPr>
      <w:bookmarkStart w:id="1" w:name="_Toc12253"/>
      <w:r>
        <w:rPr>
          <w:rFonts w:hint="eastAsia"/>
          <w:b/>
          <w:bCs/>
          <w:lang w:val="en-US" w:eastAsia="zh-CN"/>
        </w:rPr>
        <w:t>二、项目目的目标</w:t>
      </w:r>
      <w:bookmarkEnd w:id="1"/>
    </w:p>
    <w:p w14:paraId="1E699361">
      <w:pPr>
        <w:pStyle w:val="3"/>
        <w:numPr>
          <w:ilvl w:val="1"/>
          <w:numId w:val="0"/>
        </w:numPr>
        <w:bidi w:val="0"/>
        <w:ind w:leftChars="0"/>
        <w:rPr>
          <w:rFonts w:hint="eastAsia"/>
        </w:rPr>
      </w:pPr>
      <w:bookmarkStart w:id="2" w:name="_Toc284"/>
      <w:r>
        <w:rPr>
          <w:rFonts w:hint="eastAsia"/>
          <w:lang w:val="en-US" w:eastAsia="zh-CN"/>
        </w:rPr>
        <w:t>2.1 立项目的</w:t>
      </w:r>
      <w:bookmarkEnd w:id="2"/>
    </w:p>
    <w:p w14:paraId="179FC18D">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构建统一签约中台，消除信息孤岛</w:t>
      </w:r>
      <w:r>
        <w:rPr>
          <w:rFonts w:hint="eastAsia" w:ascii="宋体" w:hAnsi="宋体" w:eastAsia="宋体" w:cs="宋体"/>
          <w:color w:val="000000" w:themeColor="text1"/>
          <w:sz w:val="28"/>
          <w:szCs w:val="28"/>
          <w14:textFill>
            <w14:solidFill>
              <w14:schemeClr w14:val="tx1"/>
            </w14:solidFill>
          </w14:textFill>
        </w:rPr>
        <w:t>：打破各业务线之间的技术壁垒，将分散的签章能力收口至统一的中台系统。实现“一点接入，全网服务”，降低新业务接入成本，提升整体架构的标准化水平。</w:t>
      </w:r>
    </w:p>
    <w:p w14:paraId="484C0AE4">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实现“配置即开发”，提升业务敏捷度</w:t>
      </w:r>
      <w:r>
        <w:rPr>
          <w:rFonts w:hint="eastAsia" w:ascii="宋体" w:hAnsi="宋体" w:eastAsia="宋体" w:cs="宋体"/>
          <w:color w:val="000000" w:themeColor="text1"/>
          <w:sz w:val="28"/>
          <w:szCs w:val="28"/>
          <w14:textFill>
            <w14:solidFill>
              <w14:schemeClr w14:val="tx1"/>
            </w14:solidFill>
          </w14:textFill>
        </w:rPr>
        <w:t>：通过研发可视化的模板编辑器（H5/FTL）和变量映射引擎，将协议变更的权限下放给运营或产品人员。实现新协议上线“零代码”开发，将业务响应周期从周级缩短至小时级。</w:t>
      </w:r>
    </w:p>
    <w:p w14:paraId="1658F5D4">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强化合规风控，构建完整证据链</w:t>
      </w:r>
      <w:r>
        <w:rPr>
          <w:rFonts w:hint="eastAsia" w:ascii="宋体" w:hAnsi="宋体" w:eastAsia="宋体" w:cs="宋体"/>
          <w:color w:val="000000" w:themeColor="text1"/>
          <w:sz w:val="28"/>
          <w:szCs w:val="28"/>
          <w14:textFill>
            <w14:solidFill>
              <w14:schemeClr w14:val="tx1"/>
            </w14:solidFill>
          </w14:textFill>
        </w:rPr>
        <w:t>：建立全链路的电子合同存证体系，确保每一份合同的签署过程（从模板生成、变量填充、CA签章到归档）都有据可查，满足司法取证要求。统一管理企业印章，杜绝违规用章风险。</w:t>
      </w:r>
    </w:p>
    <w:p w14:paraId="7187A525">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降本增效，提升运营效率</w:t>
      </w:r>
      <w:r>
        <w:rPr>
          <w:rFonts w:hint="eastAsia" w:ascii="宋体" w:hAnsi="宋体" w:eastAsia="宋体" w:cs="宋体"/>
          <w:color w:val="000000" w:themeColor="text1"/>
          <w:sz w:val="28"/>
          <w:szCs w:val="28"/>
          <w14:textFill>
            <w14:solidFill>
              <w14:schemeClr w14:val="tx1"/>
            </w14:solidFill>
          </w14:textFill>
        </w:rPr>
        <w:t>：通过中台化建设，减少重复研发投入。同时，支持PDF手动签章功能，解决线下非标合同的线上化签署难题，全面推进无纸化办公。</w:t>
      </w:r>
    </w:p>
    <w:p w14:paraId="7DD2AC97">
      <w:pPr>
        <w:pStyle w:val="3"/>
        <w:numPr>
          <w:ilvl w:val="1"/>
          <w:numId w:val="0"/>
        </w:numPr>
        <w:bidi w:val="0"/>
        <w:ind w:leftChars="0"/>
        <w:rPr>
          <w:rFonts w:hint="eastAsia"/>
        </w:rPr>
      </w:pPr>
      <w:bookmarkStart w:id="3" w:name="_Toc3274"/>
      <w:r>
        <w:rPr>
          <w:rFonts w:hint="eastAsia"/>
          <w:lang w:val="en-US" w:eastAsia="zh-CN"/>
        </w:rPr>
        <w:t>2.2 项目目标</w:t>
      </w:r>
      <w:bookmarkEnd w:id="3"/>
    </w:p>
    <w:p w14:paraId="57FFF23C">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建立标准化的电子签约服务体系</w:t>
      </w:r>
      <w:r>
        <w:rPr>
          <w:rFonts w:hint="eastAsia" w:ascii="宋体" w:hAnsi="宋体" w:eastAsia="宋体" w:cs="宋体"/>
          <w:color w:val="000000" w:themeColor="text1"/>
          <w:sz w:val="28"/>
          <w:szCs w:val="28"/>
          <w14:textFill>
            <w14:solidFill>
              <w14:schemeClr w14:val="tx1"/>
            </w14:solidFill>
          </w14:textFill>
        </w:rPr>
        <w:t>：开发一套覆盖产品管理、模板管理、变量管理、合同查询、签章流水监控、字典管理及手动签章等8大核心模块的综合管理平台。支持多租户、多资金方、多业务模式的灵活配置。</w:t>
      </w:r>
    </w:p>
    <w:p w14:paraId="090CE793">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打造高性能的文档处理引擎</w:t>
      </w:r>
      <w:r>
        <w:rPr>
          <w:rFonts w:hint="eastAsia" w:ascii="宋体" w:hAnsi="宋体" w:eastAsia="宋体" w:cs="宋体"/>
          <w:color w:val="000000" w:themeColor="text1"/>
          <w:sz w:val="28"/>
          <w:szCs w:val="28"/>
          <w14:textFill>
            <w14:solidFill>
              <w14:schemeClr w14:val="tx1"/>
            </w14:solidFill>
          </w14:textFill>
        </w:rPr>
        <w:t>：基于微服务架构，研发高性能的PDF渲染与合成引擎。支持高并发场景下的合同生成（目标TPS &gt; 200），确保在业务高峰期（如双11、大促）签约服务不宕机、不卡顿。</w:t>
      </w:r>
    </w:p>
    <w:p w14:paraId="64732A8D">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实现灵活的模板与变量管理</w:t>
      </w:r>
      <w:r>
        <w:rPr>
          <w:rFonts w:hint="eastAsia" w:ascii="宋体" w:hAnsi="宋体" w:eastAsia="宋体" w:cs="宋体"/>
          <w:color w:val="000000" w:themeColor="text1"/>
          <w:sz w:val="28"/>
          <w:szCs w:val="28"/>
          <w14:textFill>
            <w14:solidFill>
              <w14:schemeClr w14:val="tx1"/>
            </w14:solidFill>
          </w14:textFill>
        </w:rPr>
        <w:t>：支持H5在线编辑与FTL（FreeMarker）文件上传两种模式，满足简单协议与复杂逻辑协议的不同需求。构建标准化的变量库，实现业务数据与合同条款的自动映射。</w:t>
      </w:r>
    </w:p>
    <w:p w14:paraId="78178180">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提供全方位的运维监控能力</w:t>
      </w:r>
      <w:r>
        <w:rPr>
          <w:rFonts w:hint="eastAsia" w:ascii="宋体" w:hAnsi="宋体" w:eastAsia="宋体" w:cs="宋体"/>
          <w:color w:val="000000" w:themeColor="text1"/>
          <w:sz w:val="28"/>
          <w:szCs w:val="28"/>
          <w14:textFill>
            <w14:solidFill>
              <w14:schemeClr w14:val="tx1"/>
            </w14:solidFill>
          </w14:textFill>
        </w:rPr>
        <w:t>：实现对每一次签章请求的全链路追踪，记录请求流水号、回调结果及耗时。提供异常熔断与自动重试机制，保障核心业务的高可用性。</w:t>
      </w:r>
    </w:p>
    <w:p w14:paraId="657A4E24">
      <w:pPr>
        <w:pStyle w:val="2"/>
        <w:bidi w:val="0"/>
        <w:rPr>
          <w:rFonts w:hint="eastAsia"/>
        </w:rPr>
      </w:pPr>
      <w:bookmarkStart w:id="4" w:name="_Toc2293"/>
      <w:r>
        <w:rPr>
          <w:rFonts w:hint="eastAsia"/>
          <w:b/>
          <w:bCs/>
          <w:lang w:val="en-US" w:eastAsia="zh-CN"/>
        </w:rPr>
        <w:t>三、研发项目内容及任务</w:t>
      </w:r>
      <w:bookmarkEnd w:id="4"/>
    </w:p>
    <w:p w14:paraId="5A514CAF">
      <w:pPr>
        <w:pStyle w:val="3"/>
        <w:numPr>
          <w:ilvl w:val="1"/>
          <w:numId w:val="0"/>
        </w:numPr>
        <w:bidi w:val="0"/>
        <w:ind w:leftChars="0"/>
        <w:rPr>
          <w:rFonts w:hint="eastAsia"/>
        </w:rPr>
      </w:pPr>
      <w:bookmarkStart w:id="5" w:name="_Toc7808"/>
      <w:r>
        <w:rPr>
          <w:rFonts w:hint="eastAsia"/>
          <w:lang w:val="en-US" w:eastAsia="zh-CN"/>
        </w:rPr>
        <w:t>3.1 技术原理</w:t>
      </w:r>
      <w:bookmarkEnd w:id="5"/>
    </w:p>
    <w:p w14:paraId="38093AED">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本项目将基于微服务架构（Microservices Architecture）进行设计与开发，采用前后端分离的技术路线。</w:t>
      </w:r>
    </w:p>
    <w:p w14:paraId="3EE05A71">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后端架构</w:t>
      </w:r>
      <w:r>
        <w:rPr>
          <w:rFonts w:hint="eastAsia" w:ascii="宋体" w:hAnsi="宋体" w:eastAsia="宋体" w:cs="宋体"/>
          <w:color w:val="000000" w:themeColor="text1"/>
          <w:sz w:val="28"/>
          <w:szCs w:val="28"/>
          <w14:textFill>
            <w14:solidFill>
              <w14:schemeClr w14:val="tx1"/>
            </w14:solidFill>
          </w14:textFill>
        </w:rPr>
        <w:t>：基于Spring Cloud Alibaba生态体系，利用Nacos进行服务注册与配置管理，使用RocketMQ进行异步消息解耦（主要用于PDF生成的削峰填谷）。核心业务逻辑层将采用策略模式（Strategy Pattern）来适配不同资金方、不同CA机构的签章接口差异。</w:t>
      </w:r>
    </w:p>
    <w:p w14:paraId="1639495B">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前端架构</w:t>
      </w:r>
      <w:r>
        <w:rPr>
          <w:rFonts w:hint="eastAsia" w:ascii="宋体" w:hAnsi="宋体" w:eastAsia="宋体" w:cs="宋体"/>
          <w:color w:val="000000" w:themeColor="text1"/>
          <w:sz w:val="28"/>
          <w:szCs w:val="28"/>
          <w14:textFill>
            <w14:solidFill>
              <w14:schemeClr w14:val="tx1"/>
            </w14:solidFill>
          </w14:textFill>
        </w:rPr>
        <w:t>：基于Vue.js + Element UI构建管理后台。核心的模板编辑器将集成富文本编辑组件（如TinyMCE或自研Canvas编辑器），实现“所见即所得”的H5模板设计体验。</w:t>
      </w:r>
    </w:p>
    <w:p w14:paraId="464F145F">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文档处理</w:t>
      </w:r>
      <w:r>
        <w:rPr>
          <w:rFonts w:hint="eastAsia" w:ascii="宋体" w:hAnsi="宋体" w:eastAsia="宋体" w:cs="宋体"/>
          <w:color w:val="000000" w:themeColor="text1"/>
          <w:sz w:val="28"/>
          <w:szCs w:val="28"/>
          <w14:textFill>
            <w14:solidFill>
              <w14:schemeClr w14:val="tx1"/>
            </w14:solidFill>
          </w14:textFill>
        </w:rPr>
        <w:t>：引入高性能的PDF处理库（如iText或PDFBox），结合FreeMarker模板引擎，实现动态数据到静态PDF文件的高速渲染。针对手动签章场景，利用HTML5 Canvas技术实现印章在PDF上的拖拽定位与合成。</w:t>
      </w:r>
    </w:p>
    <w:p w14:paraId="19414288">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数据存储</w:t>
      </w:r>
      <w:r>
        <w:rPr>
          <w:rFonts w:hint="eastAsia" w:ascii="宋体" w:hAnsi="宋体" w:eastAsia="宋体" w:cs="宋体"/>
          <w:color w:val="000000" w:themeColor="text1"/>
          <w:sz w:val="28"/>
          <w:szCs w:val="28"/>
          <w14:textFill>
            <w14:solidFill>
              <w14:schemeClr w14:val="tx1"/>
            </w14:solidFill>
          </w14:textFill>
        </w:rPr>
        <w:t>：</w:t>
      </w:r>
    </w:p>
    <w:p w14:paraId="476EB5D4">
      <w:pPr>
        <w:keepNext w:val="0"/>
        <w:keepLines w:val="0"/>
        <w:widowControl/>
        <w:numPr>
          <w:ilvl w:val="0"/>
          <w:numId w:val="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MySQL</w:t>
      </w:r>
      <w:r>
        <w:rPr>
          <w:rFonts w:hint="eastAsia" w:ascii="宋体" w:hAnsi="宋体" w:eastAsia="宋体" w:cs="宋体"/>
          <w:color w:val="000000" w:themeColor="text1"/>
          <w:sz w:val="28"/>
          <w:szCs w:val="28"/>
          <w14:textFill>
            <w14:solidFill>
              <w14:schemeClr w14:val="tx1"/>
            </w14:solidFill>
          </w14:textFill>
        </w:rPr>
        <w:t>：存储结构化的业务数据，如产品配置、模板元数据、变量定义、签章流水等。</w:t>
      </w:r>
    </w:p>
    <w:p w14:paraId="53D4AF4F">
      <w:pPr>
        <w:keepNext w:val="0"/>
        <w:keepLines w:val="0"/>
        <w:widowControl/>
        <w:numPr>
          <w:ilvl w:val="0"/>
          <w:numId w:val="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MongoDB/OSS</w:t>
      </w:r>
      <w:r>
        <w:rPr>
          <w:rFonts w:hint="eastAsia" w:ascii="宋体" w:hAnsi="宋体" w:eastAsia="宋体" w:cs="宋体"/>
          <w:color w:val="000000" w:themeColor="text1"/>
          <w:sz w:val="28"/>
          <w:szCs w:val="28"/>
          <w14:textFill>
            <w14:solidFill>
              <w14:schemeClr w14:val="tx1"/>
            </w14:solidFill>
          </w14:textFill>
        </w:rPr>
        <w:t>：存储非结构化的文件数据，如合同模板文件（HTML/FTL）、生成的PDF合同文件、印章图片等。</w:t>
      </w:r>
    </w:p>
    <w:p w14:paraId="31BFB503">
      <w:pPr>
        <w:keepNext w:val="0"/>
        <w:keepLines w:val="0"/>
        <w:widowControl/>
        <w:numPr>
          <w:ilvl w:val="0"/>
          <w:numId w:val="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Redis</w:t>
      </w:r>
      <w:r>
        <w:rPr>
          <w:rFonts w:hint="eastAsia" w:ascii="宋体" w:hAnsi="宋体" w:eastAsia="宋体" w:cs="宋体"/>
          <w:color w:val="000000" w:themeColor="text1"/>
          <w:sz w:val="28"/>
          <w:szCs w:val="28"/>
          <w14:textFill>
            <w14:solidFill>
              <w14:schemeClr w14:val="tx1"/>
            </w14:solidFill>
          </w14:textFill>
        </w:rPr>
        <w:t>：用于缓存热点数据（如高频使用的模板、数据字典），提升系统读取性能。</w:t>
      </w:r>
    </w:p>
    <w:p w14:paraId="40A2C46E">
      <w:pPr>
        <w:pStyle w:val="3"/>
        <w:numPr>
          <w:ilvl w:val="1"/>
          <w:numId w:val="0"/>
        </w:numPr>
        <w:bidi w:val="0"/>
        <w:ind w:leftChars="0"/>
        <w:rPr>
          <w:rFonts w:hint="eastAsia"/>
        </w:rPr>
      </w:pPr>
      <w:bookmarkStart w:id="6" w:name="_Toc18601"/>
      <w:r>
        <w:rPr>
          <w:rFonts w:hint="eastAsia"/>
          <w:lang w:val="en-US" w:eastAsia="zh-CN"/>
        </w:rPr>
        <w:t>3.2 关键技术以及技术指标</w:t>
      </w:r>
      <w:bookmarkEnd w:id="6"/>
    </w:p>
    <w:p w14:paraId="19AAE980">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关键技术</w:t>
      </w:r>
    </w:p>
    <w:p w14:paraId="388C32A0">
      <w:pPr>
        <w:keepNext w:val="0"/>
        <w:keepLines w:val="0"/>
        <w:widowControl/>
        <w:numPr>
          <w:ilvl w:val="0"/>
          <w:numId w:val="0"/>
        </w:numPr>
        <w:suppressLineNumbers w:val="0"/>
        <w:spacing w:before="0" w:beforeAutospacing="0" w:after="0" w:afterAutospacing="0" w:line="26" w:lineRule="atLeast"/>
        <w:ind w:left="360" w:leftChars="0"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动态模板渲染引擎</w:t>
      </w:r>
      <w:r>
        <w:rPr>
          <w:rFonts w:hint="eastAsia" w:ascii="宋体" w:hAnsi="宋体" w:eastAsia="宋体" w:cs="宋体"/>
          <w:color w:val="000000" w:themeColor="text1"/>
          <w:sz w:val="28"/>
          <w:szCs w:val="28"/>
          <w14:textFill>
            <w14:solidFill>
              <w14:schemeClr w14:val="tx1"/>
            </w14:solidFill>
          </w14:textFill>
        </w:rPr>
        <w:t>：研发支持H5与FTL双模式的渲染引擎。H5模式便于在线快速编辑，FTL模式支持复杂的逻辑判断（如循环、条件分支），满足金融合同中复杂的动态条款需求。</w:t>
      </w:r>
    </w:p>
    <w:p w14:paraId="07080391">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kern w:val="0"/>
          <w:sz w:val="28"/>
          <w:szCs w:val="28"/>
          <w:lang w:val="en-US" w:eastAsia="zh-CN" w:bidi="ar"/>
          <w14:textFill>
            <w14:solidFill>
              <w14:schemeClr w14:val="tx1"/>
            </w14:solidFill>
          </w14:textFill>
        </w:rPr>
        <w:t>3.2.2</w:t>
      </w:r>
      <w:r>
        <w:rPr>
          <w:rStyle w:val="17"/>
          <w:rFonts w:hint="eastAsia" w:ascii="宋体" w:hAnsi="宋体" w:eastAsia="宋体" w:cs="宋体"/>
          <w:color w:val="000000" w:themeColor="text1"/>
          <w:sz w:val="28"/>
          <w:szCs w:val="28"/>
          <w14:textFill>
            <w14:solidFill>
              <w14:schemeClr w14:val="tx1"/>
            </w14:solidFill>
          </w14:textFill>
        </w:rPr>
        <w:t>变量自动映射算法</w:t>
      </w:r>
      <w:r>
        <w:rPr>
          <w:rFonts w:hint="eastAsia" w:ascii="宋体" w:hAnsi="宋体" w:eastAsia="宋体" w:cs="宋体"/>
          <w:color w:val="000000" w:themeColor="text1"/>
          <w:sz w:val="28"/>
          <w:szCs w:val="28"/>
          <w14:textFill>
            <w14:solidFill>
              <w14:schemeClr w14:val="tx1"/>
            </w14:solidFill>
          </w14:textFill>
        </w:rPr>
        <w:t>：构建基于元数据的变量映射机制。通过定义标准化的变量库（如</w:t>
      </w:r>
      <w:r>
        <w:rPr>
          <w:rStyle w:val="20"/>
          <w:rFonts w:hint="eastAsia" w:ascii="宋体" w:hAnsi="宋体" w:eastAsia="宋体" w:cs="宋体"/>
          <w:color w:val="000000" w:themeColor="text1"/>
          <w:sz w:val="28"/>
          <w:szCs w:val="28"/>
          <w14:textFill>
            <w14:solidFill>
              <w14:schemeClr w14:val="tx1"/>
            </w14:solidFill>
          </w14:textFill>
        </w:rPr>
        <w:t>user_name</w:t>
      </w:r>
      <w:r>
        <w:rPr>
          <w:rFonts w:hint="eastAsia" w:ascii="宋体" w:hAnsi="宋体" w:eastAsia="宋体" w:cs="宋体"/>
          <w:color w:val="000000" w:themeColor="text1"/>
          <w:sz w:val="28"/>
          <w:szCs w:val="28"/>
          <w14:textFill>
            <w14:solidFill>
              <w14:schemeClr w14:val="tx1"/>
            </w14:solidFill>
          </w14:textFill>
        </w:rPr>
        <w:t>对应“借款人姓名”），实现业务数据与模板占位符的自动匹配与填充，彻底解决硬编码问题。</w:t>
      </w:r>
    </w:p>
    <w:p w14:paraId="026F8876">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kern w:val="0"/>
          <w:sz w:val="28"/>
          <w:szCs w:val="28"/>
          <w:lang w:val="en-US" w:eastAsia="zh-CN" w:bidi="ar"/>
          <w14:textFill>
            <w14:solidFill>
              <w14:schemeClr w14:val="tx1"/>
            </w14:solidFill>
          </w14:textFill>
        </w:rPr>
        <w:t>3.2.3</w:t>
      </w:r>
      <w:r>
        <w:rPr>
          <w:rStyle w:val="17"/>
          <w:rFonts w:hint="eastAsia" w:ascii="宋体" w:hAnsi="宋体" w:eastAsia="宋体" w:cs="宋体"/>
          <w:color w:val="000000" w:themeColor="text1"/>
          <w:sz w:val="28"/>
          <w:szCs w:val="28"/>
          <w14:textFill>
            <w14:solidFill>
              <w14:schemeClr w14:val="tx1"/>
            </w14:solidFill>
          </w14:textFill>
        </w:rPr>
        <w:t>分布式印章安全管控</w:t>
      </w:r>
      <w:r>
        <w:rPr>
          <w:rFonts w:hint="eastAsia" w:ascii="宋体" w:hAnsi="宋体" w:eastAsia="宋体" w:cs="宋体"/>
          <w:color w:val="000000" w:themeColor="text1"/>
          <w:sz w:val="28"/>
          <w:szCs w:val="28"/>
          <w14:textFill>
            <w14:solidFill>
              <w14:schemeClr w14:val="tx1"/>
            </w14:solidFill>
          </w14:textFill>
        </w:rPr>
        <w:t>：利用电子印章水印技术和权限控制列表（ACL），确保印章图片仅在授权范围内被调用。同时，记录每一次印章调用的详细日志（时间、操作人、IP、用途），防止印章滥用。</w:t>
      </w:r>
    </w:p>
    <w:p w14:paraId="63497194">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kern w:val="0"/>
          <w:sz w:val="28"/>
          <w:szCs w:val="28"/>
          <w:lang w:val="en-US" w:eastAsia="zh-CN" w:bidi="ar"/>
          <w14:textFill>
            <w14:solidFill>
              <w14:schemeClr w14:val="tx1"/>
            </w14:solidFill>
          </w14:textFill>
        </w:rPr>
        <w:t>3.2.4</w:t>
      </w:r>
      <w:r>
        <w:rPr>
          <w:rStyle w:val="17"/>
          <w:rFonts w:hint="eastAsia" w:ascii="宋体" w:hAnsi="宋体" w:eastAsia="宋体" w:cs="宋体"/>
          <w:color w:val="000000" w:themeColor="text1"/>
          <w:sz w:val="28"/>
          <w:szCs w:val="28"/>
          <w14:textFill>
            <w14:solidFill>
              <w14:schemeClr w14:val="tx1"/>
            </w14:solidFill>
          </w14:textFill>
        </w:rPr>
        <w:t>高并发PDF生成技术</w:t>
      </w:r>
      <w:r>
        <w:rPr>
          <w:rFonts w:hint="eastAsia" w:ascii="宋体" w:hAnsi="宋体" w:eastAsia="宋体" w:cs="宋体"/>
          <w:color w:val="000000" w:themeColor="text1"/>
          <w:sz w:val="28"/>
          <w:szCs w:val="28"/>
          <w14:textFill>
            <w14:solidFill>
              <w14:schemeClr w14:val="tx1"/>
            </w14:solidFill>
          </w14:textFill>
        </w:rPr>
        <w:t>：通过异步队列与分布式计算节点的配合，将CPU密集型的PDF生成任务分发到多个节点并行处理，大幅提升系统吞吐量。</w:t>
      </w:r>
    </w:p>
    <w:p w14:paraId="61355B8D">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技术指标</w:t>
      </w:r>
    </w:p>
    <w:p w14:paraId="3FA249C2">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参照《GB/T 25000.51-2016 系统与软件工程 系统与软件质量要求和评价》标准：</w:t>
      </w:r>
    </w:p>
    <w:p w14:paraId="15B66EC3">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25000.51-2010软件工程 软件产品质量要求和评价（SQuaRE）商业现货（COTS）软件产品的质量要求和测试细则 </w:t>
      </w:r>
    </w:p>
    <w:p w14:paraId="0A9885AD">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29831.1-2013 系统与软件功能性 第1部分：指标体系 </w:t>
      </w:r>
    </w:p>
    <w:p w14:paraId="331F06F6">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29831.2-2013 系统与软件功能性 第2部分：度量方法 </w:t>
      </w:r>
    </w:p>
    <w:p w14:paraId="34003ED1">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29831.3-2013 系统与软件功能性 第3部分：测试方法 </w:t>
      </w:r>
    </w:p>
    <w:p w14:paraId="605BD4AC">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29832.1-2013 系统与软件可靠性 第1部分：指标体系 </w:t>
      </w:r>
    </w:p>
    <w:p w14:paraId="721B3888">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29832.2-2013 系统与软件可靠性 第2部分：度量方法 </w:t>
      </w:r>
    </w:p>
    <w:p w14:paraId="7D028E42">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29832.3-2013 系统与软件可靠性 第3部分：测试方法 </w:t>
      </w:r>
    </w:p>
    <w:p w14:paraId="43ABA5E3">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29833.1-2013 系统与软件可移植性 第1部分：指标体系 </w:t>
      </w:r>
    </w:p>
    <w:p w14:paraId="332F0EE3">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29833.2-2013 系统与软件可移植性 第2部分：度量方法 </w:t>
      </w:r>
    </w:p>
    <w:p w14:paraId="01B2ED73">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29833.3-2013 系统与软件可移植性 第3部分：测试方法 </w:t>
      </w:r>
    </w:p>
    <w:p w14:paraId="3938107E">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29834.1-2013 系统与软件维护性 第1部分：指标体系 </w:t>
      </w:r>
    </w:p>
    <w:p w14:paraId="1A3BFB2B">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29834.2-2013 系统与软件维护性 第2部分：度量方法 </w:t>
      </w:r>
    </w:p>
    <w:p w14:paraId="65700D3E">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29834.3-2013 系统与软件维护性 第3部分：测试方法 </w:t>
      </w:r>
    </w:p>
    <w:p w14:paraId="561D7E6E">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29835.1-2013 系统与软件效率 第1部分：指标体系 </w:t>
      </w:r>
    </w:p>
    <w:p w14:paraId="7535BACC">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29835.2-2013 系统与软件效率 第2部分：度量方法 </w:t>
      </w:r>
    </w:p>
    <w:p w14:paraId="2606C0F7">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29835.3-2013 系统与软件效率 第3部分：测试方法 </w:t>
      </w:r>
    </w:p>
    <w:p w14:paraId="572E27CD">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29836.1-2013 系统与软件易用性 第1部分：指标体系 </w:t>
      </w:r>
    </w:p>
    <w:p w14:paraId="3E40396C">
      <w:pPr>
        <w:adjustRightInd w:val="0"/>
        <w:snapToGrid w:val="0"/>
        <w:spacing w:line="360" w:lineRule="auto"/>
        <w:ind w:firstLine="420"/>
        <w:rPr>
          <w:rFonts w:hint="eastAsia" w:ascii="宋体" w:hAnsi="宋体" w:cs="宋体"/>
          <w:bCs/>
          <w:color w:val="000000"/>
          <w:kern w:val="0"/>
          <w:sz w:val="28"/>
          <w:szCs w:val="28"/>
        </w:rPr>
      </w:pPr>
      <w:r>
        <w:rPr>
          <w:rFonts w:hint="eastAsia" w:ascii="宋体" w:hAnsi="宋体" w:cs="宋体"/>
          <w:bCs/>
          <w:color w:val="000000"/>
          <w:kern w:val="0"/>
          <w:sz w:val="28"/>
          <w:szCs w:val="28"/>
        </w:rPr>
        <w:t xml:space="preserve">GB/T 29836.2-2013 系统与软件易用性 第2部分：度量方法 </w:t>
      </w:r>
    </w:p>
    <w:p w14:paraId="599BF6CA">
      <w:pPr>
        <w:adjustRightInd w:val="0"/>
        <w:snapToGrid w:val="0"/>
        <w:spacing w:line="360" w:lineRule="auto"/>
        <w:ind w:firstLine="420" w:firstLineChars="150"/>
        <w:rPr>
          <w:rFonts w:hint="eastAsia" w:ascii="宋体" w:hAnsi="宋体" w:cs="宋体"/>
          <w:bCs/>
          <w:color w:val="000000"/>
          <w:kern w:val="0"/>
          <w:sz w:val="28"/>
          <w:szCs w:val="28"/>
        </w:rPr>
      </w:pPr>
      <w:r>
        <w:rPr>
          <w:rFonts w:hint="eastAsia" w:ascii="宋体" w:hAnsi="宋体" w:cs="宋体"/>
          <w:bCs/>
          <w:color w:val="000000"/>
          <w:kern w:val="0"/>
          <w:sz w:val="28"/>
          <w:szCs w:val="28"/>
        </w:rPr>
        <w:t>GB/T 29836.3-2013 系统与软件易用性 第3部分：测评方法</w:t>
      </w:r>
    </w:p>
    <w:p w14:paraId="68FBA698">
      <w:pPr>
        <w:pStyle w:val="3"/>
        <w:numPr>
          <w:ilvl w:val="1"/>
          <w:numId w:val="0"/>
        </w:numPr>
        <w:bidi w:val="0"/>
        <w:ind w:leftChars="0"/>
        <w:rPr>
          <w:rFonts w:hint="eastAsia"/>
        </w:rPr>
      </w:pPr>
      <w:bookmarkStart w:id="27" w:name="_GoBack"/>
      <w:bookmarkEnd w:id="27"/>
      <w:bookmarkStart w:id="7" w:name="_Toc12038"/>
      <w:r>
        <w:rPr>
          <w:rFonts w:hint="eastAsia"/>
          <w:lang w:val="en-US" w:eastAsia="zh-CN"/>
        </w:rPr>
        <w:t>3.3 主要研究内容</w:t>
      </w:r>
      <w:bookmarkEnd w:id="7"/>
    </w:p>
    <w:p w14:paraId="6E9083C8">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本项目将重点研发以下</w:t>
      </w:r>
      <w:r>
        <w:rPr>
          <w:rStyle w:val="17"/>
          <w:rFonts w:hint="eastAsia" w:ascii="宋体" w:hAnsi="宋体" w:eastAsia="宋体" w:cs="宋体"/>
          <w:color w:val="000000" w:themeColor="text1"/>
          <w:sz w:val="28"/>
          <w:szCs w:val="28"/>
          <w14:textFill>
            <w14:solidFill>
              <w14:schemeClr w14:val="tx1"/>
            </w14:solidFill>
          </w14:textFill>
        </w:rPr>
        <w:t>8个核心功能模块</w:t>
      </w:r>
      <w:r>
        <w:rPr>
          <w:rFonts w:hint="eastAsia" w:ascii="宋体" w:hAnsi="宋体" w:eastAsia="宋体" w:cs="宋体"/>
          <w:color w:val="000000" w:themeColor="text1"/>
          <w:sz w:val="28"/>
          <w:szCs w:val="28"/>
          <w14:textFill>
            <w14:solidFill>
              <w14:schemeClr w14:val="tx1"/>
            </w14:solidFill>
          </w14:textFill>
        </w:rPr>
        <w:t>，实现对电子签约业务的全生命周期管理：</w:t>
      </w:r>
    </w:p>
    <w:p w14:paraId="18089029">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8" w:name="_Toc7634"/>
      <w:r>
        <w:rPr>
          <w:rFonts w:hint="eastAsia" w:ascii="宋体" w:hAnsi="宋体" w:eastAsia="宋体" w:cs="宋体"/>
          <w:color w:val="000000" w:themeColor="text1"/>
          <w:kern w:val="0"/>
          <w:sz w:val="28"/>
          <w:szCs w:val="28"/>
          <w:lang w:val="en-US" w:eastAsia="zh-CN" w:bidi="ar"/>
          <w14:textFill>
            <w14:solidFill>
              <w14:schemeClr w14:val="tx1"/>
            </w14:solidFill>
          </w14:textFill>
        </w:rPr>
        <w:t>3.3.1</w:t>
      </w:r>
      <w:r>
        <w:rPr>
          <w:rStyle w:val="17"/>
          <w:rFonts w:hint="eastAsia" w:ascii="宋体" w:hAnsi="宋体" w:eastAsia="宋体" w:cs="宋体"/>
          <w:color w:val="000000" w:themeColor="text1"/>
          <w:sz w:val="28"/>
          <w:szCs w:val="28"/>
          <w14:textFill>
            <w14:solidFill>
              <w14:schemeClr w14:val="tx1"/>
            </w14:solidFill>
          </w14:textFill>
        </w:rPr>
        <w:t>产品管理（业务顶层抽象）</w:t>
      </w:r>
      <w:bookmarkEnd w:id="8"/>
    </w:p>
    <w:p w14:paraId="40CA5E14">
      <w:pPr>
        <w:keepNext w:val="0"/>
        <w:keepLines w:val="0"/>
        <w:widowControl/>
        <w:numPr>
          <w:ilvl w:val="0"/>
          <w:numId w:val="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：产品名称、产品编号、业务线、主产品、业务模式（自营/助贷）、资金方、资金方编码、状态。</w:t>
      </w:r>
    </w:p>
    <w:p w14:paraId="6AA7D730">
      <w:pPr>
        <w:keepNext w:val="0"/>
        <w:keepLines w:val="0"/>
        <w:widowControl/>
        <w:numPr>
          <w:ilvl w:val="0"/>
          <w:numId w:val="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：作为业务隔离的顶层概念，将具体的产品与资金方进行绑定。支持定义不同的业务模式，以适配不同的合规要求。通过“模板管理”入口，将产品与具体的协议模板组进行关联，实现业务逻辑的物理隔离。</w:t>
      </w:r>
    </w:p>
    <w:p w14:paraId="4E4DD2D1">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9" w:name="_Toc14963"/>
      <w:r>
        <w:rPr>
          <w:rFonts w:hint="eastAsia" w:ascii="宋体" w:hAnsi="宋体" w:eastAsia="宋体" w:cs="宋体"/>
          <w:color w:val="000000" w:themeColor="text1"/>
          <w:kern w:val="0"/>
          <w:sz w:val="28"/>
          <w:szCs w:val="28"/>
          <w:lang w:val="en-US" w:eastAsia="zh-CN" w:bidi="ar"/>
          <w14:textFill>
            <w14:solidFill>
              <w14:schemeClr w14:val="tx1"/>
            </w14:solidFill>
          </w14:textFill>
        </w:rPr>
        <w:t>3.3.2</w:t>
      </w:r>
      <w:r>
        <w:rPr>
          <w:rStyle w:val="17"/>
          <w:rFonts w:hint="eastAsia" w:ascii="宋体" w:hAnsi="宋体" w:eastAsia="宋体" w:cs="宋体"/>
          <w:color w:val="000000" w:themeColor="text1"/>
          <w:sz w:val="28"/>
          <w:szCs w:val="28"/>
          <w14:textFill>
            <w14:solidFill>
              <w14:schemeClr w14:val="tx1"/>
            </w14:solidFill>
          </w14:textFill>
        </w:rPr>
        <w:t xml:space="preserve"> 模板管理（资金方类/平台类）</w:t>
      </w:r>
      <w:bookmarkEnd w:id="9"/>
    </w:p>
    <w:p w14:paraId="1494FD5F">
      <w:pPr>
        <w:keepNext w:val="0"/>
        <w:keepLines w:val="0"/>
        <w:widowControl/>
        <w:numPr>
          <w:ilvl w:val="0"/>
          <w:numId w:val="4"/>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：模板编号、模板名称、协议分类（预览/签约）、签章类型、状态、发布状态、版本号、更新时间。</w:t>
      </w:r>
    </w:p>
    <w:p w14:paraId="7D24AA65">
      <w:pPr>
        <w:keepNext w:val="0"/>
        <w:keepLines w:val="0"/>
        <w:widowControl/>
        <w:numPr>
          <w:ilvl w:val="0"/>
          <w:numId w:val="4"/>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w:t>
      </w:r>
    </w:p>
    <w:p w14:paraId="05AA980E">
      <w:pPr>
        <w:keepNext w:val="0"/>
        <w:keepLines w:val="0"/>
        <w:widowControl/>
        <w:numPr>
          <w:ilvl w:val="1"/>
          <w:numId w:val="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双模管理</w:t>
      </w:r>
      <w:r>
        <w:rPr>
          <w:rFonts w:hint="eastAsia" w:ascii="宋体" w:hAnsi="宋体" w:eastAsia="宋体" w:cs="宋体"/>
          <w:color w:val="000000" w:themeColor="text1"/>
          <w:sz w:val="28"/>
          <w:szCs w:val="28"/>
          <w14:textFill>
            <w14:solidFill>
              <w14:schemeClr w14:val="tx1"/>
            </w14:solidFill>
          </w14:textFill>
        </w:rPr>
        <w:t>：区分“资金方模板”（需严格遵循资金方格式要求）与“平台模板”（公司内部通用协议）。</w:t>
      </w:r>
    </w:p>
    <w:p w14:paraId="7327C3D3">
      <w:pPr>
        <w:keepNext w:val="0"/>
        <w:keepLines w:val="0"/>
        <w:widowControl/>
        <w:numPr>
          <w:ilvl w:val="1"/>
          <w:numId w:val="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可视化编辑</w:t>
      </w:r>
      <w:r>
        <w:rPr>
          <w:rFonts w:hint="eastAsia" w:ascii="宋体" w:hAnsi="宋体" w:eastAsia="宋体" w:cs="宋体"/>
          <w:color w:val="000000" w:themeColor="text1"/>
          <w:sz w:val="28"/>
          <w:szCs w:val="28"/>
          <w14:textFill>
            <w14:solidFill>
              <w14:schemeClr w14:val="tx1"/>
            </w14:solidFill>
          </w14:textFill>
        </w:rPr>
        <w:t>：提供H5在线编辑器和FTL文件上传功能。支持在编辑器中直接插入变量占位符和公章位置。</w:t>
      </w:r>
    </w:p>
    <w:p w14:paraId="3B3C6474">
      <w:pPr>
        <w:keepNext w:val="0"/>
        <w:keepLines w:val="0"/>
        <w:widowControl/>
        <w:numPr>
          <w:ilvl w:val="1"/>
          <w:numId w:val="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版本控制</w:t>
      </w:r>
      <w:r>
        <w:rPr>
          <w:rFonts w:hint="eastAsia" w:ascii="宋体" w:hAnsi="宋体" w:eastAsia="宋体" w:cs="宋体"/>
          <w:color w:val="000000" w:themeColor="text1"/>
          <w:sz w:val="28"/>
          <w:szCs w:val="28"/>
          <w14:textFill>
            <w14:solidFill>
              <w14:schemeClr w14:val="tx1"/>
            </w14:solidFill>
          </w14:textFill>
        </w:rPr>
        <w:t>：支持模板的发布、归档与版本回退。确保每一份签署的合同都能追溯到当时生效的模板版本。</w:t>
      </w:r>
    </w:p>
    <w:p w14:paraId="41762D6E">
      <w:pPr>
        <w:keepNext w:val="0"/>
        <w:keepLines w:val="0"/>
        <w:widowControl/>
        <w:numPr>
          <w:ilvl w:val="1"/>
          <w:numId w:val="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批量操作</w:t>
      </w:r>
      <w:r>
        <w:rPr>
          <w:rFonts w:hint="eastAsia" w:ascii="宋体" w:hAnsi="宋体" w:eastAsia="宋体" w:cs="宋体"/>
          <w:color w:val="000000" w:themeColor="text1"/>
          <w:sz w:val="28"/>
          <w:szCs w:val="28"/>
          <w14:textFill>
            <w14:solidFill>
              <w14:schemeClr w14:val="tx1"/>
            </w14:solidFill>
          </w14:textFill>
        </w:rPr>
        <w:t>：支持模板的批量导入/导出、批量启用/停用，方便在测试与生产环境间迁移数据。</w:t>
      </w:r>
    </w:p>
    <w:p w14:paraId="5CE95D2D">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0" w:name="_Toc32114"/>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3. 平台模板管理</w:t>
      </w:r>
      <w:bookmarkEnd w:id="10"/>
    </w:p>
    <w:p w14:paraId="783FC1A8">
      <w:pPr>
        <w:keepNext w:val="0"/>
        <w:keepLines w:val="0"/>
        <w:widowControl/>
        <w:numPr>
          <w:ilvl w:val="0"/>
          <w:numId w:val="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：业务子产品、预览协议分类、签约协议分类、签章类型等（字段同上）。</w:t>
      </w:r>
    </w:p>
    <w:p w14:paraId="49430CB8">
      <w:pPr>
        <w:keepNext w:val="0"/>
        <w:keepLines w:val="0"/>
        <w:widowControl/>
        <w:numPr>
          <w:ilvl w:val="0"/>
          <w:numId w:val="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：针对无需特定资金方绑定的通用协议（如注册协议、隐私政策、平台服务协议）进行专项管理。支持按业务子产品维度进行细分配置。</w:t>
      </w:r>
    </w:p>
    <w:p w14:paraId="01437793">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1" w:name="_Toc11771"/>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4. 变量管理（标准化数据字典）</w:t>
      </w:r>
      <w:bookmarkEnd w:id="11"/>
    </w:p>
    <w:p w14:paraId="692C1A82">
      <w:pPr>
        <w:keepNext w:val="0"/>
        <w:keepLines w:val="0"/>
        <w:widowControl/>
        <w:numPr>
          <w:ilvl w:val="0"/>
          <w:numId w:val="7"/>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：变量名称、变量中文名称、类型（String/Number/Date/List）、业务分类、主产品、状态。</w:t>
      </w:r>
    </w:p>
    <w:p w14:paraId="30162729">
      <w:pPr>
        <w:keepNext w:val="0"/>
        <w:keepLines w:val="0"/>
        <w:widowControl/>
        <w:numPr>
          <w:ilvl w:val="0"/>
          <w:numId w:val="7"/>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：建立统一的变量仓库。业务人员可在此定义标准变量（如</w:t>
      </w:r>
      <w:r>
        <w:rPr>
          <w:rStyle w:val="20"/>
          <w:rFonts w:hint="eastAsia" w:ascii="宋体" w:hAnsi="宋体" w:eastAsia="宋体" w:cs="宋体"/>
          <w:color w:val="000000" w:themeColor="text1"/>
          <w:sz w:val="28"/>
          <w:szCs w:val="28"/>
          <w14:textFill>
            <w14:solidFill>
              <w14:schemeClr w14:val="tx1"/>
            </w14:solidFill>
          </w14:textFill>
        </w:rPr>
        <w:t>loan_amount</w:t>
      </w:r>
      <w:r>
        <w:rPr>
          <w:rFonts w:hint="eastAsia" w:ascii="宋体" w:hAnsi="宋体" w:eastAsia="宋体" w:cs="宋体"/>
          <w:color w:val="000000" w:themeColor="text1"/>
          <w:sz w:val="28"/>
          <w:szCs w:val="28"/>
          <w14:textFill>
            <w14:solidFill>
              <w14:schemeClr w14:val="tx1"/>
            </w14:solidFill>
          </w14:textFill>
        </w:rPr>
        <w:t>），并指定其数据类型。在模板编辑时，只能选择已定义的变量，从而规范数据接口标准，减少前后端联调成本。</w:t>
      </w:r>
    </w:p>
    <w:p w14:paraId="2B264462">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2" w:name="_Toc9022"/>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5. 合同管理查询（存证与检索）</w:t>
      </w:r>
      <w:bookmarkEnd w:id="12"/>
    </w:p>
    <w:p w14:paraId="64034462">
      <w:pPr>
        <w:keepNext w:val="0"/>
        <w:keepLines w:val="0"/>
        <w:widowControl/>
        <w:numPr>
          <w:ilvl w:val="0"/>
          <w:numId w:val="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：业务产品、资金方、协议编号、协议名称、签约阶段、请求时间、协议内容。</w:t>
      </w:r>
    </w:p>
    <w:p w14:paraId="1CB39C5B">
      <w:pPr>
        <w:keepNext w:val="0"/>
        <w:keepLines w:val="0"/>
        <w:widowControl/>
        <w:numPr>
          <w:ilvl w:val="0"/>
          <w:numId w:val="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提供全维度的合同检索能力。支持查看每一份合同的详细状态（待签、已签、拒签、过期）。最核心的是提供“协议内容预览”功能，可直接在线查看或下载已签署的PDF/HTML文件，作为法务合规及客诉处理的第一手资料。</w:t>
      </w:r>
    </w:p>
    <w:p w14:paraId="3AD78A21">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3" w:name="_Toc5260"/>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6. 签章记录查询（全链路监控）</w:t>
      </w:r>
      <w:bookmarkEnd w:id="13"/>
    </w:p>
    <w:p w14:paraId="6D2C246E">
      <w:pPr>
        <w:keepNext w:val="0"/>
        <w:keepLines w:val="0"/>
        <w:widowControl/>
        <w:numPr>
          <w:ilvl w:val="0"/>
          <w:numId w:val="9"/>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：请求流水号、通用产品名称、模板编号、签章类型、签章结果、回调地址、回调结果。</w:t>
      </w:r>
    </w:p>
    <w:p w14:paraId="381B4FF3">
      <w:pPr>
        <w:keepNext w:val="0"/>
        <w:keepLines w:val="0"/>
        <w:widowControl/>
        <w:numPr>
          <w:ilvl w:val="0"/>
          <w:numId w:val="9"/>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：面向运维人员的监控大屏。记录每一次签章请求的全生命周期。当发生回调失败时，支持手动重推回调通知，确保业务系统状态与中台保持一致。</w:t>
      </w:r>
    </w:p>
    <w:p w14:paraId="36945228">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4" w:name="_Toc23629"/>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7. 字典管理（系统参数配置）</w:t>
      </w:r>
      <w:bookmarkEnd w:id="14"/>
    </w:p>
    <w:p w14:paraId="2E507427">
      <w:pPr>
        <w:keepNext w:val="0"/>
        <w:keepLines w:val="0"/>
        <w:widowControl/>
        <w:numPr>
          <w:ilvl w:val="0"/>
          <w:numId w:val="10"/>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：分类名称、分类编码、字典名称、字典编码、字典值、备注。</w:t>
      </w:r>
    </w:p>
    <w:p w14:paraId="5E346718">
      <w:pPr>
        <w:keepNext w:val="0"/>
        <w:keepLines w:val="0"/>
        <w:widowControl/>
        <w:numPr>
          <w:ilvl w:val="0"/>
          <w:numId w:val="10"/>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：对系统中的静态参数（如协议分类、签章类型、证件类型）进行统一管理。支持热加载，新增业务类型时无需修改代码。</w:t>
      </w:r>
    </w:p>
    <w:p w14:paraId="5502F437">
      <w:pPr>
        <w:pStyle w:val="14"/>
        <w:keepNext w:val="0"/>
        <w:keepLines w:val="0"/>
        <w:widowControl/>
        <w:suppressLineNumbers w:val="0"/>
        <w:spacing w:before="0" w:beforeAutospacing="0" w:after="0" w:afterAutospacing="0" w:line="240" w:lineRule="auto"/>
        <w:ind w:left="0" w:leftChars="0" w:right="0" w:rightChars="0"/>
        <w:outlineLvl w:val="2"/>
        <w:rPr>
          <w:rFonts w:hint="eastAsia" w:ascii="宋体" w:hAnsi="宋体" w:eastAsia="宋体" w:cs="宋体"/>
          <w:color w:val="000000" w:themeColor="text1"/>
          <w:sz w:val="28"/>
          <w:szCs w:val="28"/>
          <w14:textFill>
            <w14:solidFill>
              <w14:schemeClr w14:val="tx1"/>
            </w14:solidFill>
          </w14:textFill>
        </w:rPr>
      </w:pPr>
      <w:bookmarkStart w:id="15" w:name="_Toc17721"/>
      <w:r>
        <w:rPr>
          <w:rFonts w:hint="eastAsia" w:ascii="宋体" w:hAnsi="宋体" w:eastAsia="宋体" w:cs="宋体"/>
          <w:color w:val="000000" w:themeColor="text1"/>
          <w:kern w:val="0"/>
          <w:sz w:val="28"/>
          <w:szCs w:val="28"/>
          <w:lang w:val="en-US" w:eastAsia="zh-CN" w:bidi="ar"/>
          <w14:textFill>
            <w14:solidFill>
              <w14:schemeClr w14:val="tx1"/>
            </w14:solidFill>
          </w14:textFill>
        </w:rPr>
        <w:t>3.3.</w:t>
      </w:r>
      <w:r>
        <w:rPr>
          <w:rStyle w:val="17"/>
          <w:rFonts w:hint="eastAsia" w:ascii="宋体" w:hAnsi="宋体" w:eastAsia="宋体" w:cs="宋体"/>
          <w:color w:val="000000" w:themeColor="text1"/>
          <w:sz w:val="28"/>
          <w:szCs w:val="28"/>
          <w14:textFill>
            <w14:solidFill>
              <w14:schemeClr w14:val="tx1"/>
            </w14:solidFill>
          </w14:textFill>
        </w:rPr>
        <w:t>8. PDF手动签章（非标业务支持）</w:t>
      </w:r>
      <w:bookmarkEnd w:id="15"/>
    </w:p>
    <w:p w14:paraId="1F00CDA8">
      <w:pPr>
        <w:keepNext w:val="0"/>
        <w:keepLines w:val="0"/>
        <w:widowControl/>
        <w:numPr>
          <w:ilvl w:val="0"/>
          <w:numId w:val="11"/>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核心字段</w:t>
      </w:r>
      <w:r>
        <w:rPr>
          <w:rFonts w:hint="eastAsia" w:ascii="宋体" w:hAnsi="宋体" w:eastAsia="宋体" w:cs="宋体"/>
          <w:color w:val="000000" w:themeColor="text1"/>
          <w:sz w:val="28"/>
          <w:szCs w:val="28"/>
          <w14:textFill>
            <w14:solidFill>
              <w14:schemeClr w14:val="tx1"/>
            </w14:solidFill>
          </w14:textFill>
        </w:rPr>
        <w:t>：企业信息、印章编码、印章名称、法人姓名、关键字、文件名、文件大小、状态。</w:t>
      </w:r>
    </w:p>
    <w:p w14:paraId="051B1E23">
      <w:pPr>
        <w:keepNext w:val="0"/>
        <w:keepLines w:val="0"/>
        <w:widowControl/>
        <w:numPr>
          <w:ilvl w:val="0"/>
          <w:numId w:val="11"/>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功能描述</w:t>
      </w:r>
      <w:r>
        <w:rPr>
          <w:rFonts w:hint="eastAsia" w:ascii="宋体" w:hAnsi="宋体" w:eastAsia="宋体" w:cs="宋体"/>
          <w:color w:val="000000" w:themeColor="text1"/>
          <w:sz w:val="28"/>
          <w:szCs w:val="28"/>
          <w14:textFill>
            <w14:solidFill>
              <w14:schemeClr w14:val="tx1"/>
            </w14:solidFill>
          </w14:textFill>
        </w:rPr>
        <w:t>：针对线下签署或非标准化的PDF文件，提供线上手动盖章能力。</w:t>
      </w:r>
    </w:p>
    <w:p w14:paraId="18346530">
      <w:pPr>
        <w:keepNext w:val="0"/>
        <w:keepLines w:val="0"/>
        <w:widowControl/>
        <w:numPr>
          <w:ilvl w:val="0"/>
          <w:numId w:val="1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关键字定位</w:t>
      </w:r>
      <w:r>
        <w:rPr>
          <w:rFonts w:hint="eastAsia" w:ascii="宋体" w:hAnsi="宋体" w:eastAsia="宋体" w:cs="宋体"/>
          <w:color w:val="000000" w:themeColor="text1"/>
          <w:sz w:val="28"/>
          <w:szCs w:val="28"/>
          <w14:textFill>
            <w14:solidFill>
              <w14:schemeClr w14:val="tx1"/>
            </w14:solidFill>
          </w14:textFill>
        </w:rPr>
        <w:t>：支持根据文档中的关键字（如“甲方盖章处”）自动定位印章位置。</w:t>
      </w:r>
    </w:p>
    <w:p w14:paraId="012E5F12">
      <w:pPr>
        <w:keepNext w:val="0"/>
        <w:keepLines w:val="0"/>
        <w:widowControl/>
        <w:numPr>
          <w:ilvl w:val="0"/>
          <w:numId w:val="1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手动拖拽</w:t>
      </w:r>
      <w:r>
        <w:rPr>
          <w:rFonts w:hint="eastAsia" w:ascii="宋体" w:hAnsi="宋体" w:eastAsia="宋体" w:cs="宋体"/>
          <w:color w:val="000000" w:themeColor="text1"/>
          <w:sz w:val="28"/>
          <w:szCs w:val="28"/>
          <w14:textFill>
            <w14:solidFill>
              <w14:schemeClr w14:val="tx1"/>
            </w14:solidFill>
          </w14:textFill>
        </w:rPr>
        <w:t>：用户可在Web页面上预览PDF，并将电子印章拖拽至任意位置进行盖章。</w:t>
      </w:r>
    </w:p>
    <w:p w14:paraId="74E66551">
      <w:pPr>
        <w:keepNext w:val="0"/>
        <w:keepLines w:val="0"/>
        <w:widowControl/>
        <w:numPr>
          <w:ilvl w:val="0"/>
          <w:numId w:val="12"/>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合成下载</w:t>
      </w:r>
      <w:r>
        <w:rPr>
          <w:rFonts w:hint="eastAsia" w:ascii="宋体" w:hAnsi="宋体" w:eastAsia="宋体" w:cs="宋体"/>
          <w:color w:val="000000" w:themeColor="text1"/>
          <w:sz w:val="28"/>
          <w:szCs w:val="28"/>
          <w14:textFill>
            <w14:solidFill>
              <w14:schemeClr w14:val="tx1"/>
            </w14:solidFill>
          </w14:textFill>
        </w:rPr>
        <w:t>：盖章完成后，系统自动合成新的PDF文件供下载归档。</w:t>
      </w:r>
    </w:p>
    <w:p w14:paraId="14F32BA7">
      <w:pPr>
        <w:pStyle w:val="3"/>
        <w:numPr>
          <w:ilvl w:val="1"/>
          <w:numId w:val="0"/>
        </w:numPr>
        <w:bidi w:val="0"/>
        <w:ind w:leftChars="0"/>
        <w:rPr>
          <w:rFonts w:hint="eastAsia"/>
        </w:rPr>
      </w:pPr>
      <w:bookmarkStart w:id="16" w:name="_Toc20570"/>
      <w:r>
        <w:rPr>
          <w:rFonts w:hint="eastAsia"/>
          <w:lang w:val="en-US" w:eastAsia="zh-CN"/>
        </w:rPr>
        <w:t>3.4 研发项目的创新点</w:t>
      </w:r>
      <w:bookmarkEnd w:id="16"/>
    </w:p>
    <w:p w14:paraId="511A048D">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“资金方-平台”双轨制模板架构</w:t>
      </w:r>
      <w:r>
        <w:rPr>
          <w:rFonts w:hint="eastAsia" w:ascii="宋体" w:hAnsi="宋体" w:eastAsia="宋体" w:cs="宋体"/>
          <w:color w:val="000000" w:themeColor="text1"/>
          <w:sz w:val="28"/>
          <w:szCs w:val="28"/>
          <w14:textFill>
            <w14:solidFill>
              <w14:schemeClr w14:val="tx1"/>
            </w14:solidFill>
          </w14:textFill>
        </w:rPr>
        <w:t>：针对助贷业务特点，创新性地设计了双轨制模板管理架构。资金方模板满足金融机构的严苛合规要求（物理隔离、格式固定），平台模板满足公司内部业务的灵活运营需求。两者既独立管理又可组合使用，完美适配复杂的金融助贷场景。</w:t>
      </w:r>
    </w:p>
    <w:p w14:paraId="67180D0D">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可视化变量映射引擎（Low-Code）</w:t>
      </w:r>
      <w:r>
        <w:rPr>
          <w:rFonts w:hint="eastAsia" w:ascii="宋体" w:hAnsi="宋体" w:eastAsia="宋体" w:cs="宋体"/>
          <w:color w:val="000000" w:themeColor="text1"/>
          <w:sz w:val="28"/>
          <w:szCs w:val="28"/>
          <w14:textFill>
            <w14:solidFill>
              <w14:schemeClr w14:val="tx1"/>
            </w14:solidFill>
          </w14:textFill>
        </w:rPr>
        <w:t>：摒弃了传统的“代码填充”模式，研发了可视化的变量映射引擎。业务人员只需在界面上拖拽变量到模板中，系统自动生成映射关系配置。这使得新协议上线彻底摆脱了对研发的依赖，实现了“配置即生产”的低代码开发模式。</w:t>
      </w:r>
    </w:p>
    <w:p w14:paraId="2F959AEC">
      <w:pPr>
        <w:keepNext w:val="0"/>
        <w:keepLines w:val="0"/>
        <w:widowControl/>
        <w:numPr>
          <w:ilvl w:val="0"/>
          <w:numId w:val="0"/>
        </w:numPr>
        <w:suppressLineNumbers w:val="0"/>
        <w:spacing w:before="0" w:beforeAutospacing="0" w:after="0" w:afterAutospacing="0" w:line="26" w:lineRule="atLeast"/>
        <w:ind w:firstLine="562" w:firstLineChars="20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高性能混合渲染技术</w:t>
      </w:r>
      <w:r>
        <w:rPr>
          <w:rFonts w:hint="eastAsia" w:ascii="宋体" w:hAnsi="宋体" w:eastAsia="宋体" w:cs="宋体"/>
          <w:color w:val="000000" w:themeColor="text1"/>
          <w:sz w:val="28"/>
          <w:szCs w:val="28"/>
          <w14:textFill>
            <w14:solidFill>
              <w14:schemeClr w14:val="tx1"/>
            </w14:solidFill>
          </w14:textFill>
        </w:rPr>
        <w:t>：结合了H5的动态性与PDF的稳定性。在用户预览阶段，采用H5实时渲染，极大地降低了服务器带宽压力并提升了加载速度；在最终签约阶段，采用服务端高性能PDF合成技术，确保合同文件的法律效力与不可篡改性。</w:t>
      </w:r>
    </w:p>
    <w:p w14:paraId="1F8C91F3">
      <w:pPr>
        <w:pStyle w:val="2"/>
        <w:bidi w:val="0"/>
        <w:rPr>
          <w:rFonts w:hint="eastAsia"/>
        </w:rPr>
      </w:pPr>
      <w:bookmarkStart w:id="17" w:name="_Toc2556"/>
      <w:bookmarkStart w:id="18" w:name="_Toc1524"/>
      <w:r>
        <w:rPr>
          <w:rFonts w:hint="eastAsia"/>
          <w:b/>
          <w:bCs/>
          <w:lang w:val="en-US" w:eastAsia="zh-CN"/>
        </w:rPr>
        <w:t>四、总体实施方案</w:t>
      </w:r>
      <w:bookmarkEnd w:id="17"/>
    </w:p>
    <w:p w14:paraId="0031FE60">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本项目采用“顶层设计、分步实施、敏捷迭代”的策略，确保系统建设稳步推进且能快速产出业务价值。</w:t>
      </w:r>
    </w:p>
    <w:tbl>
      <w:tblPr>
        <w:tblStyle w:val="15"/>
        <w:tblW w:w="0" w:type="auto"/>
        <w:tblInd w:w="-20" w:type="dxa"/>
        <w:tblLayout w:type="fixed"/>
        <w:tblCellMar>
          <w:top w:w="0" w:type="dxa"/>
          <w:left w:w="108" w:type="dxa"/>
          <w:bottom w:w="0" w:type="dxa"/>
          <w:right w:w="108" w:type="dxa"/>
        </w:tblCellMar>
      </w:tblPr>
      <w:tblGrid>
        <w:gridCol w:w="1491"/>
        <w:gridCol w:w="5910"/>
      </w:tblGrid>
      <w:tr w14:paraId="1EA1C4FA">
        <w:tblPrEx>
          <w:tblCellMar>
            <w:top w:w="0" w:type="dxa"/>
            <w:left w:w="108" w:type="dxa"/>
            <w:bottom w:w="0" w:type="dxa"/>
            <w:right w:w="108" w:type="dxa"/>
          </w:tblCellMar>
        </w:tblPrEx>
        <w:trPr>
          <w:trHeight w:val="468" w:hRule="atLeast"/>
        </w:trPr>
        <w:tc>
          <w:tcPr>
            <w:tcW w:w="149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684F553C">
            <w:pPr>
              <w:widowControl/>
              <w:jc w:val="left"/>
              <w:rPr>
                <w:rFonts w:hint="eastAsia" w:ascii="宋体" w:hAnsi="宋体" w:cs="宋体"/>
                <w:b/>
                <w:bCs/>
                <w:kern w:val="0"/>
                <w:sz w:val="22"/>
                <w:szCs w:val="22"/>
              </w:rPr>
            </w:pPr>
            <w:r>
              <w:rPr>
                <w:rFonts w:hint="eastAsia" w:ascii="宋体" w:hAnsi="宋体" w:cs="宋体"/>
                <w:b/>
                <w:bCs/>
                <w:kern w:val="0"/>
                <w:sz w:val="22"/>
                <w:szCs w:val="22"/>
              </w:rPr>
              <w:t>日期</w:t>
            </w:r>
          </w:p>
        </w:tc>
        <w:tc>
          <w:tcPr>
            <w:tcW w:w="5910"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6F205B9">
            <w:pPr>
              <w:widowControl/>
              <w:jc w:val="left"/>
              <w:rPr>
                <w:rFonts w:hint="eastAsia" w:ascii="宋体" w:hAnsi="宋体" w:cs="宋体"/>
                <w:b/>
                <w:bCs/>
                <w:kern w:val="0"/>
                <w:sz w:val="22"/>
                <w:szCs w:val="22"/>
              </w:rPr>
            </w:pPr>
            <w:r>
              <w:rPr>
                <w:rFonts w:hint="eastAsia" w:ascii="宋体" w:hAnsi="宋体" w:cs="宋体"/>
                <w:b/>
                <w:bCs/>
                <w:kern w:val="0"/>
                <w:sz w:val="22"/>
                <w:szCs w:val="22"/>
              </w:rPr>
              <w:t>里程碑</w:t>
            </w:r>
          </w:p>
        </w:tc>
      </w:tr>
      <w:tr w14:paraId="433A8743">
        <w:tblPrEx>
          <w:tblCellMar>
            <w:top w:w="0" w:type="dxa"/>
            <w:left w:w="108" w:type="dxa"/>
            <w:bottom w:w="0" w:type="dxa"/>
            <w:right w:w="108" w:type="dxa"/>
          </w:tblCellMar>
        </w:tblPrEx>
        <w:trPr>
          <w:trHeight w:val="468" w:hRule="atLeast"/>
        </w:trPr>
        <w:tc>
          <w:tcPr>
            <w:tcW w:w="1491" w:type="dxa"/>
            <w:tcBorders>
              <w:top w:val="single" w:color="auto" w:sz="4" w:space="0"/>
              <w:left w:val="single" w:color="auto" w:sz="4" w:space="0"/>
              <w:bottom w:val="single" w:color="auto" w:sz="4" w:space="0"/>
              <w:right w:val="single" w:color="auto" w:sz="4" w:space="0"/>
            </w:tcBorders>
            <w:noWrap w:val="0"/>
            <w:vAlign w:val="center"/>
          </w:tcPr>
          <w:p w14:paraId="0BB2AE37">
            <w:pPr>
              <w:widowControl/>
              <w:jc w:val="left"/>
              <w:rPr>
                <w:rFonts w:hint="eastAsia" w:ascii="宋体" w:hAnsi="宋体" w:cs="宋体"/>
                <w:color w:val="000000"/>
                <w:kern w:val="0"/>
                <w:sz w:val="24"/>
              </w:rPr>
            </w:pPr>
            <w:r>
              <w:rPr>
                <w:rFonts w:hint="eastAsia" w:ascii="宋体" w:hAnsi="宋体" w:cs="宋体"/>
                <w:color w:val="000000"/>
                <w:kern w:val="0"/>
                <w:sz w:val="24"/>
              </w:rPr>
              <w:t>一期</w:t>
            </w:r>
          </w:p>
        </w:tc>
        <w:tc>
          <w:tcPr>
            <w:tcW w:w="5910" w:type="dxa"/>
            <w:tcBorders>
              <w:top w:val="single" w:color="auto" w:sz="4" w:space="0"/>
              <w:left w:val="single" w:color="auto" w:sz="4" w:space="0"/>
              <w:bottom w:val="single" w:color="auto" w:sz="4" w:space="0"/>
              <w:right w:val="single" w:color="auto" w:sz="4" w:space="0"/>
            </w:tcBorders>
            <w:noWrap w:val="0"/>
            <w:vAlign w:val="center"/>
          </w:tcPr>
          <w:p w14:paraId="647C27ED">
            <w:pPr>
              <w:widowControl/>
              <w:jc w:val="left"/>
              <w:rPr>
                <w:rFonts w:hint="eastAsia" w:ascii="宋体" w:hAnsi="宋体" w:cs="宋体"/>
                <w:color w:val="000000"/>
                <w:kern w:val="0"/>
                <w:sz w:val="24"/>
              </w:rPr>
            </w:pPr>
            <w:r>
              <w:rPr>
                <w:rFonts w:hint="eastAsia" w:ascii="宋体" w:hAnsi="宋体" w:cs="宋体"/>
                <w:color w:val="000000"/>
                <w:kern w:val="0"/>
                <w:sz w:val="24"/>
              </w:rPr>
              <w:t>基础架构与核心引擎搭建（M1-M2）</w:t>
            </w:r>
          </w:p>
        </w:tc>
      </w:tr>
      <w:tr w14:paraId="133ABB6F">
        <w:tblPrEx>
          <w:tblCellMar>
            <w:top w:w="0" w:type="dxa"/>
            <w:left w:w="108" w:type="dxa"/>
            <w:bottom w:w="0" w:type="dxa"/>
            <w:right w:w="108" w:type="dxa"/>
          </w:tblCellMar>
        </w:tblPrEx>
        <w:trPr>
          <w:trHeight w:val="468" w:hRule="atLeast"/>
        </w:trPr>
        <w:tc>
          <w:tcPr>
            <w:tcW w:w="1491" w:type="dxa"/>
            <w:tcBorders>
              <w:top w:val="single" w:color="auto" w:sz="4" w:space="0"/>
              <w:left w:val="single" w:color="auto" w:sz="4" w:space="0"/>
              <w:bottom w:val="single" w:color="auto" w:sz="4" w:space="0"/>
              <w:right w:val="single" w:color="auto" w:sz="4" w:space="0"/>
            </w:tcBorders>
            <w:noWrap w:val="0"/>
            <w:vAlign w:val="center"/>
          </w:tcPr>
          <w:p w14:paraId="18AD1478">
            <w:pPr>
              <w:widowControl/>
              <w:jc w:val="left"/>
              <w:rPr>
                <w:rFonts w:hint="eastAsia" w:ascii="宋体" w:hAnsi="宋体" w:cs="宋体"/>
                <w:color w:val="000000"/>
                <w:kern w:val="0"/>
                <w:sz w:val="24"/>
              </w:rPr>
            </w:pPr>
            <w:r>
              <w:rPr>
                <w:rFonts w:hint="eastAsia" w:ascii="宋体" w:hAnsi="宋体" w:cs="宋体"/>
                <w:color w:val="000000"/>
                <w:kern w:val="0"/>
                <w:sz w:val="24"/>
              </w:rPr>
              <w:t>二期</w:t>
            </w:r>
          </w:p>
        </w:tc>
        <w:tc>
          <w:tcPr>
            <w:tcW w:w="5910" w:type="dxa"/>
            <w:tcBorders>
              <w:top w:val="single" w:color="auto" w:sz="4" w:space="0"/>
              <w:left w:val="single" w:color="auto" w:sz="4" w:space="0"/>
              <w:bottom w:val="single" w:color="auto" w:sz="4" w:space="0"/>
              <w:right w:val="single" w:color="auto" w:sz="4" w:space="0"/>
            </w:tcBorders>
            <w:noWrap w:val="0"/>
            <w:vAlign w:val="center"/>
          </w:tcPr>
          <w:p w14:paraId="08579298">
            <w:pPr>
              <w:widowControl/>
              <w:jc w:val="left"/>
              <w:rPr>
                <w:rFonts w:hint="eastAsia" w:ascii="宋体" w:hAnsi="宋体" w:cs="宋体"/>
                <w:color w:val="000000"/>
                <w:kern w:val="0"/>
                <w:sz w:val="24"/>
              </w:rPr>
            </w:pPr>
            <w:r>
              <w:rPr>
                <w:rFonts w:hint="eastAsia" w:ascii="宋体" w:hAnsi="宋体" w:cs="宋体"/>
                <w:color w:val="000000"/>
                <w:kern w:val="0"/>
                <w:sz w:val="24"/>
              </w:rPr>
              <w:t>业务模块完善与存量迁移（M3-M4）</w:t>
            </w:r>
          </w:p>
        </w:tc>
      </w:tr>
      <w:tr w14:paraId="1BFAAC3F">
        <w:tblPrEx>
          <w:tblCellMar>
            <w:top w:w="0" w:type="dxa"/>
            <w:left w:w="108" w:type="dxa"/>
            <w:bottom w:w="0" w:type="dxa"/>
            <w:right w:w="108" w:type="dxa"/>
          </w:tblCellMar>
        </w:tblPrEx>
        <w:trPr>
          <w:trHeight w:val="468" w:hRule="atLeast"/>
        </w:trPr>
        <w:tc>
          <w:tcPr>
            <w:tcW w:w="1491" w:type="dxa"/>
            <w:tcBorders>
              <w:top w:val="single" w:color="auto" w:sz="4" w:space="0"/>
              <w:left w:val="single" w:color="auto" w:sz="4" w:space="0"/>
              <w:bottom w:val="single" w:color="auto" w:sz="4" w:space="0"/>
              <w:right w:val="single" w:color="auto" w:sz="4" w:space="0"/>
            </w:tcBorders>
            <w:noWrap w:val="0"/>
            <w:vAlign w:val="center"/>
          </w:tcPr>
          <w:p w14:paraId="15DFFF24">
            <w:pPr>
              <w:widowControl/>
              <w:jc w:val="left"/>
              <w:rPr>
                <w:rFonts w:hint="eastAsia" w:ascii="宋体" w:hAnsi="宋体" w:cs="宋体"/>
                <w:color w:val="000000"/>
                <w:kern w:val="0"/>
                <w:sz w:val="24"/>
              </w:rPr>
            </w:pPr>
            <w:r>
              <w:rPr>
                <w:rFonts w:hint="eastAsia" w:ascii="宋体" w:hAnsi="宋体" w:cs="宋体"/>
                <w:color w:val="000000"/>
                <w:kern w:val="0"/>
                <w:sz w:val="24"/>
              </w:rPr>
              <w:t>三期</w:t>
            </w:r>
          </w:p>
        </w:tc>
        <w:tc>
          <w:tcPr>
            <w:tcW w:w="5910" w:type="dxa"/>
            <w:tcBorders>
              <w:top w:val="single" w:color="auto" w:sz="4" w:space="0"/>
              <w:left w:val="single" w:color="auto" w:sz="4" w:space="0"/>
              <w:bottom w:val="single" w:color="auto" w:sz="4" w:space="0"/>
              <w:right w:val="single" w:color="auto" w:sz="4" w:space="0"/>
            </w:tcBorders>
            <w:noWrap w:val="0"/>
            <w:vAlign w:val="center"/>
          </w:tcPr>
          <w:p w14:paraId="4C365058">
            <w:pPr>
              <w:widowControl/>
              <w:jc w:val="left"/>
              <w:rPr>
                <w:rFonts w:hint="eastAsia" w:ascii="宋体" w:hAnsi="宋体" w:cs="宋体"/>
                <w:color w:val="000000"/>
                <w:kern w:val="0"/>
                <w:sz w:val="24"/>
              </w:rPr>
            </w:pPr>
            <w:r>
              <w:rPr>
                <w:rFonts w:hint="eastAsia" w:ascii="宋体" w:hAnsi="宋体" w:cs="宋体"/>
                <w:color w:val="000000"/>
                <w:kern w:val="0"/>
                <w:sz w:val="24"/>
              </w:rPr>
              <w:t>高级功能与生态扩展（M5-M6）</w:t>
            </w:r>
          </w:p>
        </w:tc>
      </w:tr>
      <w:tr w14:paraId="11101295">
        <w:tblPrEx>
          <w:tblCellMar>
            <w:top w:w="0" w:type="dxa"/>
            <w:left w:w="108" w:type="dxa"/>
            <w:bottom w:w="0" w:type="dxa"/>
            <w:right w:w="108" w:type="dxa"/>
          </w:tblCellMar>
        </w:tblPrEx>
        <w:trPr>
          <w:trHeight w:val="468" w:hRule="atLeast"/>
        </w:trPr>
        <w:tc>
          <w:tcPr>
            <w:tcW w:w="1491" w:type="dxa"/>
            <w:tcBorders>
              <w:top w:val="single" w:color="auto" w:sz="4" w:space="0"/>
              <w:left w:val="single" w:color="auto" w:sz="4" w:space="0"/>
              <w:bottom w:val="single" w:color="auto" w:sz="4" w:space="0"/>
              <w:right w:val="single" w:color="auto" w:sz="4" w:space="0"/>
            </w:tcBorders>
            <w:noWrap w:val="0"/>
            <w:vAlign w:val="center"/>
          </w:tcPr>
          <w:p w14:paraId="68B85BA7">
            <w:pPr>
              <w:widowControl/>
              <w:jc w:val="left"/>
              <w:rPr>
                <w:rFonts w:hint="eastAsia" w:ascii="宋体" w:hAnsi="宋体" w:cs="宋体"/>
                <w:color w:val="000000"/>
                <w:kern w:val="0"/>
                <w:sz w:val="24"/>
              </w:rPr>
            </w:pPr>
            <w:r>
              <w:rPr>
                <w:rFonts w:hint="eastAsia" w:ascii="宋体" w:hAnsi="宋体" w:cs="宋体"/>
                <w:color w:val="000000"/>
                <w:kern w:val="0"/>
                <w:sz w:val="24"/>
              </w:rPr>
              <w:t>四期</w:t>
            </w:r>
          </w:p>
        </w:tc>
        <w:tc>
          <w:tcPr>
            <w:tcW w:w="5910" w:type="dxa"/>
            <w:tcBorders>
              <w:top w:val="single" w:color="auto" w:sz="4" w:space="0"/>
              <w:left w:val="single" w:color="auto" w:sz="4" w:space="0"/>
              <w:bottom w:val="single" w:color="auto" w:sz="4" w:space="0"/>
              <w:right w:val="single" w:color="auto" w:sz="4" w:space="0"/>
            </w:tcBorders>
            <w:noWrap w:val="0"/>
            <w:vAlign w:val="center"/>
          </w:tcPr>
          <w:p w14:paraId="41E8BB2C">
            <w:pPr>
              <w:widowControl/>
              <w:jc w:val="left"/>
              <w:rPr>
                <w:rFonts w:hint="eastAsia" w:ascii="宋体" w:hAnsi="宋体" w:cs="宋体"/>
                <w:color w:val="000000"/>
                <w:kern w:val="0"/>
                <w:sz w:val="24"/>
              </w:rPr>
            </w:pPr>
            <w:r>
              <w:rPr>
                <w:rFonts w:hint="eastAsia" w:ascii="宋体" w:hAnsi="宋体" w:cs="宋体"/>
                <w:color w:val="000000"/>
                <w:kern w:val="0"/>
                <w:sz w:val="24"/>
              </w:rPr>
              <w:t>全面推广与运维体系建设（M6+）</w:t>
            </w:r>
          </w:p>
        </w:tc>
      </w:tr>
    </w:tbl>
    <w:p w14:paraId="15C47385">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p>
    <w:p w14:paraId="5561A14F">
      <w:pPr>
        <w:keepNext w:val="0"/>
        <w:keepLines w:val="0"/>
        <w:widowControl/>
        <w:numPr>
          <w:ilvl w:val="0"/>
          <w:numId w:val="1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第一阶段：基础架构与核心引擎搭建（M1-M2）</w:t>
      </w:r>
      <w:r>
        <w:rPr>
          <w:rFonts w:hint="eastAsia" w:ascii="宋体" w:hAnsi="宋体" w:eastAsia="宋体" w:cs="宋体"/>
          <w:color w:val="000000" w:themeColor="text1"/>
          <w:sz w:val="28"/>
          <w:szCs w:val="28"/>
          <w14:textFill>
            <w14:solidFill>
              <w14:schemeClr w14:val="tx1"/>
            </w14:solidFill>
          </w14:textFill>
        </w:rPr>
        <w:t>完成微服务框架的搭建，确立数据库模型。重点研发PDF渲染引擎与变量映射引擎，实现最基础的模板配置与合同生成功能。打通与第一家CA机构（如CFCA）的对接。</w:t>
      </w:r>
    </w:p>
    <w:p w14:paraId="02AF5885">
      <w:pPr>
        <w:keepNext w:val="0"/>
        <w:keepLines w:val="0"/>
        <w:widowControl/>
        <w:numPr>
          <w:ilvl w:val="0"/>
          <w:numId w:val="1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第二阶段：业务模块完善与存量迁移（M3-M4）</w:t>
      </w:r>
      <w:r>
        <w:rPr>
          <w:rFonts w:hint="eastAsia" w:ascii="宋体" w:hAnsi="宋体" w:eastAsia="宋体" w:cs="宋体"/>
          <w:color w:val="000000" w:themeColor="text1"/>
          <w:sz w:val="28"/>
          <w:szCs w:val="28"/>
          <w14:textFill>
            <w14:solidFill>
              <w14:schemeClr w14:val="tx1"/>
            </w14:solidFill>
          </w14:textFill>
        </w:rPr>
        <w:t>完成产品管理、模板管理（H5编辑器）、变量管理等前台功能开发。开始接入内部第一个核心业务线（如消费金融），验证系统的稳定性与易用性。</w:t>
      </w:r>
    </w:p>
    <w:p w14:paraId="17A52654">
      <w:pPr>
        <w:keepNext w:val="0"/>
        <w:keepLines w:val="0"/>
        <w:widowControl/>
        <w:numPr>
          <w:ilvl w:val="0"/>
          <w:numId w:val="1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第三阶段：高级功能与生态扩展（M5-M6）</w:t>
      </w:r>
      <w:r>
        <w:rPr>
          <w:rFonts w:hint="eastAsia" w:ascii="宋体" w:hAnsi="宋体" w:eastAsia="宋体" w:cs="宋体"/>
          <w:color w:val="000000" w:themeColor="text1"/>
          <w:sz w:val="28"/>
          <w:szCs w:val="28"/>
          <w14:textFill>
            <w14:solidFill>
              <w14:schemeClr w14:val="tx1"/>
            </w14:solidFill>
          </w14:textFill>
        </w:rPr>
        <w:t>完成手动签章、全链路监控及数据统计功能。引入更多资金方模板支持，优化FTL复杂模板的处理能力。进行全链路压测，优化高并发性能。</w:t>
      </w:r>
    </w:p>
    <w:p w14:paraId="62390801">
      <w:pPr>
        <w:keepNext w:val="0"/>
        <w:keepLines w:val="0"/>
        <w:widowControl/>
        <w:numPr>
          <w:ilvl w:val="0"/>
          <w:numId w:val="13"/>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第四阶段：全面推广与运维体系建设（M6+）</w:t>
      </w:r>
      <w:r>
        <w:rPr>
          <w:rFonts w:hint="eastAsia" w:ascii="宋体" w:hAnsi="宋体" w:eastAsia="宋体" w:cs="宋体"/>
          <w:color w:val="000000" w:themeColor="text1"/>
          <w:sz w:val="28"/>
          <w:szCs w:val="28"/>
          <w14:textFill>
            <w14:solidFill>
              <w14:schemeClr w14:val="tx1"/>
            </w14:solidFill>
          </w14:textFill>
        </w:rPr>
        <w:t>在全公司范围内推广使用，逐步替代旧有的烟囱式系统。建立完善的运维监控体系与应急预案。</w:t>
      </w:r>
    </w:p>
    <w:p w14:paraId="14EF6EAA">
      <w:pPr>
        <w:pStyle w:val="2"/>
        <w:bidi w:val="0"/>
        <w:rPr>
          <w:rFonts w:hint="eastAsia"/>
          <w:b/>
          <w:bCs/>
        </w:rPr>
      </w:pPr>
      <w:r>
        <w:rPr>
          <w:rFonts w:hint="eastAsia"/>
          <w:b/>
          <w:bCs/>
          <w:lang w:val="en-US" w:eastAsia="zh-CN"/>
        </w:rPr>
        <w:t>五、可行性论证</w:t>
      </w:r>
      <w:bookmarkEnd w:id="18"/>
    </w:p>
    <w:p w14:paraId="66F4D9F6">
      <w:pPr>
        <w:pStyle w:val="3"/>
        <w:numPr>
          <w:ilvl w:val="1"/>
          <w:numId w:val="0"/>
        </w:numPr>
        <w:bidi w:val="0"/>
        <w:ind w:leftChars="0"/>
        <w:rPr>
          <w:rFonts w:hint="eastAsia"/>
        </w:rPr>
      </w:pPr>
      <w:bookmarkStart w:id="19" w:name="_Toc10655"/>
      <w:r>
        <w:rPr>
          <w:rFonts w:hint="eastAsia"/>
          <w:lang w:val="en-US" w:eastAsia="zh-CN"/>
        </w:rPr>
        <w:t>5.1 可行性研究方法</w:t>
      </w:r>
      <w:bookmarkEnd w:id="19"/>
    </w:p>
    <w:p w14:paraId="24B70943">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技术验证（POC）</w:t>
      </w:r>
      <w:r>
        <w:rPr>
          <w:rFonts w:hint="eastAsia" w:ascii="宋体" w:hAnsi="宋体" w:eastAsia="宋体" w:cs="宋体"/>
          <w:color w:val="000000" w:themeColor="text1"/>
          <w:sz w:val="28"/>
          <w:szCs w:val="28"/>
          <w14:textFill>
            <w14:solidFill>
              <w14:schemeClr w14:val="tx1"/>
            </w14:solidFill>
          </w14:textFill>
        </w:rPr>
        <w:t>：项目组前期已针对PDFBox、iText、FreeMarker等核心技术进行了POC验证，确认了在高并发场景下生成PDF的可行性及性能瓶颈，并制定了相应的优化策略（如异步队列）。</w:t>
      </w:r>
    </w:p>
    <w:p w14:paraId="67CAE2F5">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需求调研</w:t>
      </w:r>
      <w:r>
        <w:rPr>
          <w:rFonts w:hint="eastAsia" w:ascii="宋体" w:hAnsi="宋体" w:eastAsia="宋体" w:cs="宋体"/>
          <w:color w:val="000000" w:themeColor="text1"/>
          <w:sz w:val="28"/>
          <w:szCs w:val="28"/>
          <w14:textFill>
            <w14:solidFill>
              <w14:schemeClr w14:val="tx1"/>
            </w14:solidFill>
          </w14:textFill>
        </w:rPr>
        <w:t>：与业务部、法务部、风控部进行了深入访谈，梳理了当前电子签约流程中的痛点，确认了“可视化配置”与“双模管理”是解决问题的关键。</w:t>
      </w:r>
    </w:p>
    <w:p w14:paraId="05E9D690">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竞品分析</w:t>
      </w:r>
      <w:r>
        <w:rPr>
          <w:rFonts w:hint="eastAsia" w:ascii="宋体" w:hAnsi="宋体" w:eastAsia="宋体" w:cs="宋体"/>
          <w:color w:val="000000" w:themeColor="text1"/>
          <w:sz w:val="28"/>
          <w:szCs w:val="28"/>
          <w14:textFill>
            <w14:solidFill>
              <w14:schemeClr w14:val="tx1"/>
            </w14:solidFill>
          </w14:textFill>
        </w:rPr>
        <w:t>：调研了市面上主流的第三方电子签约平台（如e签宝、上上签），分析了其优缺点。结论是：自研中台更能贴合我司复杂的助贷业务场景，且长期成本更低，数据安全性更高。</w:t>
      </w:r>
    </w:p>
    <w:p w14:paraId="7BFB14D1">
      <w:pPr>
        <w:pStyle w:val="3"/>
        <w:numPr>
          <w:ilvl w:val="1"/>
          <w:numId w:val="0"/>
        </w:numPr>
        <w:bidi w:val="0"/>
        <w:ind w:leftChars="0"/>
        <w:rPr>
          <w:rFonts w:hint="eastAsia"/>
        </w:rPr>
      </w:pPr>
      <w:bookmarkStart w:id="20" w:name="_Toc340"/>
      <w:r>
        <w:rPr>
          <w:rFonts w:hint="eastAsia"/>
          <w:lang w:val="en-US" w:eastAsia="zh-CN"/>
        </w:rPr>
        <w:t>5.2 决定可行性的主要因素</w:t>
      </w:r>
      <w:bookmarkEnd w:id="20"/>
    </w:p>
    <w:p w14:paraId="5CCA0E8D">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团队实力</w:t>
      </w:r>
      <w:r>
        <w:rPr>
          <w:rFonts w:hint="eastAsia" w:ascii="宋体" w:hAnsi="宋体" w:eastAsia="宋体" w:cs="宋体"/>
          <w:color w:val="000000" w:themeColor="text1"/>
          <w:sz w:val="28"/>
          <w:szCs w:val="28"/>
          <w14:textFill>
            <w14:solidFill>
              <w14:schemeClr w14:val="tx1"/>
            </w14:solidFill>
          </w14:textFill>
        </w:rPr>
        <w:t>：公司技术团队具备丰富的微服务开发经验，且有金融科技领域的业务背景，熟悉电子合同的法律合规要求。</w:t>
      </w:r>
    </w:p>
    <w:p w14:paraId="7B693543">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技术成熟度</w:t>
      </w:r>
      <w:r>
        <w:rPr>
          <w:rFonts w:hint="eastAsia" w:ascii="宋体" w:hAnsi="宋体" w:eastAsia="宋体" w:cs="宋体"/>
          <w:color w:val="000000" w:themeColor="text1"/>
          <w:sz w:val="28"/>
          <w:szCs w:val="28"/>
          <w14:textFill>
            <w14:solidFill>
              <w14:schemeClr w14:val="tx1"/>
            </w14:solidFill>
          </w14:textFill>
        </w:rPr>
        <w:t>：所采用的Spring Cloud、Redis、RocketMQ等技术栈均为业界成熟标准，社区支持活跃，技术风险可控。</w:t>
      </w:r>
    </w:p>
    <w:p w14:paraId="0D7196C9">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业务需求迫切</w:t>
      </w:r>
      <w:r>
        <w:rPr>
          <w:rFonts w:hint="eastAsia" w:ascii="宋体" w:hAnsi="宋体" w:eastAsia="宋体" w:cs="宋体"/>
          <w:color w:val="000000" w:themeColor="text1"/>
          <w:sz w:val="28"/>
          <w:szCs w:val="28"/>
          <w14:textFill>
            <w14:solidFill>
              <w14:schemeClr w14:val="tx1"/>
            </w14:solidFill>
          </w14:textFill>
        </w:rPr>
        <w:t>：业务部门对提升签约效率、降低沟通成本有着强烈的诉求，愿意积极配合系统的试运行与推广，为项目落地提供了良好的组织保障。</w:t>
      </w:r>
    </w:p>
    <w:p w14:paraId="2580FC0C">
      <w:pPr>
        <w:pStyle w:val="2"/>
        <w:bidi w:val="0"/>
        <w:rPr>
          <w:rFonts w:hint="eastAsia"/>
          <w:b w:val="0"/>
          <w:bCs w:val="0"/>
        </w:rPr>
      </w:pPr>
      <w:bookmarkStart w:id="21" w:name="_Toc21959"/>
      <w:r>
        <w:rPr>
          <w:rFonts w:hint="eastAsia"/>
          <w:b/>
          <w:bCs/>
          <w:lang w:val="en-US" w:eastAsia="zh-CN"/>
        </w:rPr>
        <w:t>六、技术路线</w:t>
      </w:r>
      <w:bookmarkEnd w:id="21"/>
    </w:p>
    <w:p w14:paraId="688AE4F9">
      <w:pPr>
        <w:pStyle w:val="3"/>
        <w:numPr>
          <w:ilvl w:val="1"/>
          <w:numId w:val="0"/>
        </w:numPr>
        <w:bidi w:val="0"/>
        <w:ind w:leftChars="0"/>
        <w:rPr>
          <w:rFonts w:hint="eastAsia"/>
          <w:lang w:val="en-US" w:eastAsia="zh-CN"/>
        </w:rPr>
      </w:pPr>
      <w:bookmarkStart w:id="22" w:name="_Toc6827"/>
      <w:r>
        <w:rPr>
          <w:rFonts w:hint="eastAsia"/>
          <w:lang w:val="en-US" w:eastAsia="zh-CN"/>
        </w:rPr>
        <w:t>6.1 业务架构图</w:t>
      </w:r>
      <w:bookmarkEnd w:id="22"/>
    </w:p>
    <w:p w14:paraId="1B5D3744">
      <w:pPr>
        <w:keepNext w:val="0"/>
        <w:keepLines w:val="0"/>
        <w:widowControl/>
        <w:suppressLineNumbers w:val="0"/>
        <w:spacing w:line="240" w:lineRule="auto"/>
        <w:jc w:val="left"/>
        <w:outlineLvl w:val="9"/>
        <w:rPr>
          <w:rFonts w:hint="default" w:ascii="宋体" w:hAnsi="宋体" w:eastAsia="宋体" w:cs="宋体"/>
          <w:color w:val="000000" w:themeColor="text1"/>
          <w:kern w:val="0"/>
          <w:sz w:val="28"/>
          <w:szCs w:val="28"/>
          <w:lang w:val="en-US" w:eastAsia="zh-CN" w:bidi="ar"/>
          <w14:textFill>
            <w14:solidFill>
              <w14:schemeClr w14:val="tx1"/>
            </w14:solidFill>
          </w14:textFill>
        </w:rPr>
      </w:pPr>
      <w:r>
        <w:rPr>
          <w:rFonts w:hint="eastAsia" w:ascii="宋体" w:hAnsi="宋体" w:eastAsia="宋体" w:cs="宋体"/>
          <w:color w:val="000000" w:themeColor="text1"/>
          <w:kern w:val="0"/>
          <w:sz w:val="28"/>
          <w:szCs w:val="28"/>
          <w:lang w:val="en-US" w:eastAsia="zh-CN" w:bidi="ar"/>
          <w14:textFill>
            <w14:solidFill>
              <w14:schemeClr w14:val="tx1"/>
            </w14:solidFill>
          </w14:textFill>
        </w:rPr>
        <w:t xml:space="preserve">  </w:t>
      </w:r>
      <w:r>
        <w:rPr>
          <w:rFonts w:hint="default" w:ascii="宋体" w:hAnsi="宋体" w:eastAsia="宋体" w:cs="宋体"/>
          <w:color w:val="000000" w:themeColor="text1"/>
          <w:kern w:val="0"/>
          <w:sz w:val="28"/>
          <w:szCs w:val="28"/>
          <w:lang w:val="en-US" w:eastAsia="zh-CN" w:bidi="ar"/>
          <w14:textFill>
            <w14:solidFill>
              <w14:schemeClr w14:val="tx1"/>
            </w14:solidFill>
          </w14:textFill>
        </w:rPr>
        <w:drawing>
          <wp:inline distT="0" distB="0" distL="114300" distR="114300">
            <wp:extent cx="3020060" cy="5448935"/>
            <wp:effectExtent l="0" t="0" r="8890" b="18415"/>
            <wp:docPr id="3" name="图片 3" descr="mermaid-diagram-176586963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1765869637197"/>
                    <pic:cNvPicPr>
                      <a:picLocks noChangeAspect="1"/>
                    </pic:cNvPicPr>
                  </pic:nvPicPr>
                  <pic:blipFill>
                    <a:blip r:embed="rId4"/>
                    <a:stretch>
                      <a:fillRect/>
                    </a:stretch>
                  </pic:blipFill>
                  <pic:spPr>
                    <a:xfrm>
                      <a:off x="0" y="0"/>
                      <a:ext cx="3020060" cy="5448935"/>
                    </a:xfrm>
                    <a:prstGeom prst="rect">
                      <a:avLst/>
                    </a:prstGeom>
                  </pic:spPr>
                </pic:pic>
              </a:graphicData>
            </a:graphic>
          </wp:inline>
        </w:drawing>
      </w:r>
    </w:p>
    <w:p w14:paraId="48632CB5">
      <w:pPr>
        <w:bidi w:val="0"/>
        <w:rPr>
          <w:rFonts w:hint="default"/>
          <w:lang w:val="en-US" w:eastAsia="zh-CN"/>
        </w:rPr>
      </w:pPr>
    </w:p>
    <w:p w14:paraId="614B5E80">
      <w:pPr>
        <w:keepNext w:val="0"/>
        <w:keepLines w:val="0"/>
        <w:widowControl/>
        <w:suppressLineNumbers w:val="0"/>
        <w:spacing w:line="240" w:lineRule="auto"/>
        <w:jc w:val="left"/>
        <w:outlineLvl w:val="9"/>
        <w:rPr>
          <w:rFonts w:hint="eastAsia" w:ascii="宋体" w:hAnsi="宋体" w:eastAsia="宋体" w:cs="宋体"/>
          <w:color w:val="000000" w:themeColor="text1"/>
          <w:kern w:val="0"/>
          <w:sz w:val="28"/>
          <w:szCs w:val="28"/>
          <w:lang w:val="en-US" w:eastAsia="zh-CN" w:bidi="ar"/>
          <w14:textFill>
            <w14:solidFill>
              <w14:schemeClr w14:val="tx1"/>
            </w14:solidFill>
          </w14:textFill>
        </w:rPr>
      </w:pPr>
    </w:p>
    <w:p w14:paraId="7CC5D5CB">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业务架构分为三层：</w:t>
      </w:r>
    </w:p>
    <w:p w14:paraId="47CD4E10">
      <w:pPr>
        <w:keepNext w:val="0"/>
        <w:keepLines w:val="0"/>
        <w:widowControl/>
        <w:numPr>
          <w:ilvl w:val="0"/>
          <w:numId w:val="14"/>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渠道接入层</w:t>
      </w:r>
      <w:r>
        <w:rPr>
          <w:rFonts w:hint="eastAsia" w:ascii="宋体" w:hAnsi="宋体" w:eastAsia="宋体" w:cs="宋体"/>
          <w:color w:val="000000" w:themeColor="text1"/>
          <w:sz w:val="28"/>
          <w:szCs w:val="28"/>
          <w14:textFill>
            <w14:solidFill>
              <w14:schemeClr w14:val="tx1"/>
            </w14:solidFill>
          </w14:textFill>
        </w:rPr>
        <w:t>：对接内部各业务线（APP/Web/H5），提供统一的RESTful API接口。</w:t>
      </w:r>
    </w:p>
    <w:p w14:paraId="28ADD831">
      <w:pPr>
        <w:keepNext w:val="0"/>
        <w:keepLines w:val="0"/>
        <w:widowControl/>
        <w:numPr>
          <w:ilvl w:val="0"/>
          <w:numId w:val="14"/>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中台核心层</w:t>
      </w:r>
      <w:r>
        <w:rPr>
          <w:rFonts w:hint="eastAsia" w:ascii="宋体" w:hAnsi="宋体" w:eastAsia="宋体" w:cs="宋体"/>
          <w:color w:val="000000" w:themeColor="text1"/>
          <w:sz w:val="28"/>
          <w:szCs w:val="28"/>
          <w14:textFill>
            <w14:solidFill>
              <w14:schemeClr w14:val="tx1"/>
            </w14:solidFill>
          </w14:textFill>
        </w:rPr>
        <w:t>：</w:t>
      </w:r>
    </w:p>
    <w:p w14:paraId="1CC824E9">
      <w:pPr>
        <w:keepNext w:val="0"/>
        <w:keepLines w:val="0"/>
        <w:widowControl/>
        <w:numPr>
          <w:ilvl w:val="1"/>
          <w:numId w:val="1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配置中心</w:t>
      </w:r>
      <w:r>
        <w:rPr>
          <w:rFonts w:hint="eastAsia" w:ascii="宋体" w:hAnsi="宋体" w:eastAsia="宋体" w:cs="宋体"/>
          <w:color w:val="000000" w:themeColor="text1"/>
          <w:sz w:val="28"/>
          <w:szCs w:val="28"/>
          <w14:textFill>
            <w14:solidFill>
              <w14:schemeClr w14:val="tx1"/>
            </w14:solidFill>
          </w14:textFill>
        </w:rPr>
        <w:t>：产品管理、模板管理、变量管理、字典管理。</w:t>
      </w:r>
    </w:p>
    <w:p w14:paraId="547DF4D6">
      <w:pPr>
        <w:keepNext w:val="0"/>
        <w:keepLines w:val="0"/>
        <w:widowControl/>
        <w:numPr>
          <w:ilvl w:val="1"/>
          <w:numId w:val="1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执行中心</w:t>
      </w:r>
      <w:r>
        <w:rPr>
          <w:rFonts w:hint="eastAsia" w:ascii="宋体" w:hAnsi="宋体" w:eastAsia="宋体" w:cs="宋体"/>
          <w:color w:val="000000" w:themeColor="text1"/>
          <w:sz w:val="28"/>
          <w:szCs w:val="28"/>
          <w14:textFill>
            <w14:solidFill>
              <w14:schemeClr w14:val="tx1"/>
            </w14:solidFill>
          </w14:textFill>
        </w:rPr>
        <w:t>：PDF渲染引擎、签章路由引擎、印章管理。</w:t>
      </w:r>
    </w:p>
    <w:p w14:paraId="3906A7EF">
      <w:pPr>
        <w:keepNext w:val="0"/>
        <w:keepLines w:val="0"/>
        <w:widowControl/>
        <w:numPr>
          <w:ilvl w:val="1"/>
          <w:numId w:val="15"/>
        </w:numPr>
        <w:suppressLineNumbers w:val="0"/>
        <w:tabs>
          <w:tab w:val="left" w:pos="1440"/>
        </w:tabs>
        <w:spacing w:before="0" w:beforeAutospacing="0" w:after="0" w:afterAutospacing="0" w:line="26" w:lineRule="atLeast"/>
        <w:ind w:left="144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数据中心</w:t>
      </w:r>
      <w:r>
        <w:rPr>
          <w:rFonts w:hint="eastAsia" w:ascii="宋体" w:hAnsi="宋体" w:eastAsia="宋体" w:cs="宋体"/>
          <w:color w:val="000000" w:themeColor="text1"/>
          <w:sz w:val="28"/>
          <w:szCs w:val="28"/>
          <w14:textFill>
            <w14:solidFill>
              <w14:schemeClr w14:val="tx1"/>
            </w14:solidFill>
          </w14:textFill>
        </w:rPr>
        <w:t>：合同存储、流水记录、状态查询。</w:t>
      </w:r>
    </w:p>
    <w:p w14:paraId="2BE77E23">
      <w:pPr>
        <w:keepNext w:val="0"/>
        <w:keepLines w:val="0"/>
        <w:widowControl/>
        <w:numPr>
          <w:ilvl w:val="0"/>
          <w:numId w:val="14"/>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基础设施层</w:t>
      </w:r>
      <w:r>
        <w:rPr>
          <w:rFonts w:hint="eastAsia" w:ascii="宋体" w:hAnsi="宋体" w:eastAsia="宋体" w:cs="宋体"/>
          <w:color w:val="000000" w:themeColor="text1"/>
          <w:sz w:val="28"/>
          <w:szCs w:val="28"/>
          <w14:textFill>
            <w14:solidFill>
              <w14:schemeClr w14:val="tx1"/>
            </w14:solidFill>
          </w14:textFill>
        </w:rPr>
        <w:t>：对接外部CA机构（CFCA、中金、北京CA等）、时间戳服务、存证区块链。</w:t>
      </w:r>
    </w:p>
    <w:p w14:paraId="1FFAA0BF">
      <w:pPr>
        <w:pStyle w:val="3"/>
        <w:numPr>
          <w:ilvl w:val="1"/>
          <w:numId w:val="0"/>
        </w:numPr>
        <w:bidi w:val="0"/>
        <w:ind w:leftChars="0"/>
        <w:rPr>
          <w:rFonts w:hint="eastAsia"/>
        </w:rPr>
      </w:pPr>
      <w:bookmarkStart w:id="23" w:name="_Toc18036"/>
      <w:r>
        <w:rPr>
          <w:rFonts w:hint="eastAsia"/>
          <w:lang w:val="en-US" w:eastAsia="zh-CN"/>
        </w:rPr>
        <w:t>6.2 技术架构图</w:t>
      </w:r>
      <w:bookmarkEnd w:id="23"/>
    </w:p>
    <w:p w14:paraId="3A7FE4F4">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采用经典的微服务分层架构：</w:t>
      </w:r>
    </w:p>
    <w:p w14:paraId="7D362363">
      <w:pPr>
        <w:keepNext w:val="0"/>
        <w:keepLines w:val="0"/>
        <w:widowControl/>
        <w:numPr>
          <w:ilvl w:val="0"/>
          <w:numId w:val="1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前端</w:t>
      </w:r>
      <w:r>
        <w:rPr>
          <w:rFonts w:hint="eastAsia" w:ascii="宋体" w:hAnsi="宋体" w:eastAsia="宋体" w:cs="宋体"/>
          <w:color w:val="000000" w:themeColor="text1"/>
          <w:sz w:val="28"/>
          <w:szCs w:val="28"/>
          <w14:textFill>
            <w14:solidFill>
              <w14:schemeClr w14:val="tx1"/>
            </w14:solidFill>
          </w14:textFill>
        </w:rPr>
        <w:t>：Vue.js + Element UI + TinyMCE（富文本编辑）。</w:t>
      </w:r>
    </w:p>
    <w:p w14:paraId="3F30F15B">
      <w:pPr>
        <w:keepNext w:val="0"/>
        <w:keepLines w:val="0"/>
        <w:widowControl/>
        <w:numPr>
          <w:ilvl w:val="0"/>
          <w:numId w:val="1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网关</w:t>
      </w:r>
      <w:r>
        <w:rPr>
          <w:rFonts w:hint="eastAsia" w:ascii="宋体" w:hAnsi="宋体" w:eastAsia="宋体" w:cs="宋体"/>
          <w:color w:val="000000" w:themeColor="text1"/>
          <w:sz w:val="28"/>
          <w:szCs w:val="28"/>
          <w14:textFill>
            <w14:solidFill>
              <w14:schemeClr w14:val="tx1"/>
            </w14:solidFill>
          </w14:textFill>
        </w:rPr>
        <w:t>：Spring Cloud Gateway（鉴权、限流、日志）。</w:t>
      </w:r>
    </w:p>
    <w:p w14:paraId="460E381D">
      <w:pPr>
        <w:keepNext w:val="0"/>
        <w:keepLines w:val="0"/>
        <w:widowControl/>
        <w:numPr>
          <w:ilvl w:val="0"/>
          <w:numId w:val="1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应用服务</w:t>
      </w:r>
      <w:r>
        <w:rPr>
          <w:rFonts w:hint="eastAsia" w:ascii="宋体" w:hAnsi="宋体" w:eastAsia="宋体" w:cs="宋体"/>
          <w:color w:val="000000" w:themeColor="text1"/>
          <w:sz w:val="28"/>
          <w:szCs w:val="28"/>
          <w14:textFill>
            <w14:solidFill>
              <w14:schemeClr w14:val="tx1"/>
            </w14:solidFill>
          </w14:textFill>
        </w:rPr>
        <w:t>：</w:t>
      </w:r>
    </w:p>
    <w:p w14:paraId="7D28D75F">
      <w:pPr>
        <w:keepNext w:val="0"/>
        <w:keepLines w:val="0"/>
        <w:widowControl/>
        <w:numPr>
          <w:ilvl w:val="0"/>
          <w:numId w:val="17"/>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20"/>
          <w:rFonts w:hint="eastAsia" w:ascii="宋体" w:hAnsi="宋体" w:eastAsia="宋体" w:cs="宋体"/>
          <w:color w:val="000000" w:themeColor="text1"/>
          <w:sz w:val="28"/>
          <w:szCs w:val="28"/>
          <w14:textFill>
            <w14:solidFill>
              <w14:schemeClr w14:val="tx1"/>
            </w14:solidFill>
          </w14:textFill>
        </w:rPr>
        <w:t>zhiqianbao-admin</w:t>
      </w:r>
      <w:r>
        <w:rPr>
          <w:rFonts w:hint="eastAsia" w:ascii="宋体" w:hAnsi="宋体" w:eastAsia="宋体" w:cs="宋体"/>
          <w:color w:val="000000" w:themeColor="text1"/>
          <w:sz w:val="28"/>
          <w:szCs w:val="28"/>
          <w14:textFill>
            <w14:solidFill>
              <w14:schemeClr w14:val="tx1"/>
            </w14:solidFill>
          </w14:textFill>
        </w:rPr>
        <w:t>：管理后台服务，负责元数据配置。</w:t>
      </w:r>
    </w:p>
    <w:p w14:paraId="3C50C1CB">
      <w:pPr>
        <w:keepNext w:val="0"/>
        <w:keepLines w:val="0"/>
        <w:widowControl/>
        <w:numPr>
          <w:ilvl w:val="0"/>
          <w:numId w:val="17"/>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20"/>
          <w:rFonts w:hint="eastAsia" w:ascii="宋体" w:hAnsi="宋体" w:eastAsia="宋体" w:cs="宋体"/>
          <w:color w:val="000000" w:themeColor="text1"/>
          <w:sz w:val="28"/>
          <w:szCs w:val="28"/>
          <w14:textFill>
            <w14:solidFill>
              <w14:schemeClr w14:val="tx1"/>
            </w14:solidFill>
          </w14:textFill>
        </w:rPr>
        <w:t>zhiqianbao-core</w:t>
      </w:r>
      <w:r>
        <w:rPr>
          <w:rFonts w:hint="eastAsia" w:ascii="宋体" w:hAnsi="宋体" w:eastAsia="宋体" w:cs="宋体"/>
          <w:color w:val="000000" w:themeColor="text1"/>
          <w:sz w:val="28"/>
          <w:szCs w:val="28"/>
          <w14:textFill>
            <w14:solidFill>
              <w14:schemeClr w14:val="tx1"/>
            </w14:solidFill>
          </w14:textFill>
        </w:rPr>
        <w:t>：核心签章服务，负责合同生成与签章对接。</w:t>
      </w:r>
    </w:p>
    <w:p w14:paraId="2C44E968">
      <w:pPr>
        <w:keepNext w:val="0"/>
        <w:keepLines w:val="0"/>
        <w:widowControl/>
        <w:numPr>
          <w:ilvl w:val="0"/>
          <w:numId w:val="17"/>
        </w:numPr>
        <w:suppressLineNumbers w:val="0"/>
        <w:spacing w:before="0" w:beforeAutospacing="0" w:after="0" w:afterAutospacing="0" w:line="26" w:lineRule="atLeast"/>
        <w:ind w:left="1440" w:leftChars="0" w:hanging="360" w:firstLineChars="0"/>
        <w:rPr>
          <w:rFonts w:hint="eastAsia" w:ascii="宋体" w:hAnsi="宋体" w:eastAsia="宋体" w:cs="宋体"/>
          <w:color w:val="000000" w:themeColor="text1"/>
          <w:sz w:val="28"/>
          <w:szCs w:val="28"/>
          <w14:textFill>
            <w14:solidFill>
              <w14:schemeClr w14:val="tx1"/>
            </w14:solidFill>
          </w14:textFill>
        </w:rPr>
      </w:pPr>
      <w:r>
        <w:rPr>
          <w:rStyle w:val="20"/>
          <w:rFonts w:hint="eastAsia" w:ascii="宋体" w:hAnsi="宋体" w:eastAsia="宋体" w:cs="宋体"/>
          <w:color w:val="000000" w:themeColor="text1"/>
          <w:sz w:val="28"/>
          <w:szCs w:val="28"/>
          <w14:textFill>
            <w14:solidFill>
              <w14:schemeClr w14:val="tx1"/>
            </w14:solidFill>
          </w14:textFill>
        </w:rPr>
        <w:t>zhiqianbao-job</w:t>
      </w:r>
      <w:r>
        <w:rPr>
          <w:rFonts w:hint="eastAsia" w:ascii="宋体" w:hAnsi="宋体" w:eastAsia="宋体" w:cs="宋体"/>
          <w:color w:val="000000" w:themeColor="text1"/>
          <w:sz w:val="28"/>
          <w:szCs w:val="28"/>
          <w14:textFill>
            <w14:solidFill>
              <w14:schemeClr w14:val="tx1"/>
            </w14:solidFill>
          </w14:textFill>
        </w:rPr>
        <w:t>：定时任务服务，负责状态轮询与异常重试。</w:t>
      </w:r>
    </w:p>
    <w:p w14:paraId="0FF86D12">
      <w:pPr>
        <w:keepNext w:val="0"/>
        <w:keepLines w:val="0"/>
        <w:widowControl/>
        <w:numPr>
          <w:ilvl w:val="0"/>
          <w:numId w:val="1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中间件</w:t>
      </w:r>
      <w:r>
        <w:rPr>
          <w:rFonts w:hint="eastAsia" w:ascii="宋体" w:hAnsi="宋体" w:eastAsia="宋体" w:cs="宋体"/>
          <w:color w:val="000000" w:themeColor="text1"/>
          <w:sz w:val="28"/>
          <w:szCs w:val="28"/>
          <w14:textFill>
            <w14:solidFill>
              <w14:schemeClr w14:val="tx1"/>
            </w14:solidFill>
          </w14:textFill>
        </w:rPr>
        <w:t>：Nacos（注册/配置）、RocketMQ（异步削峰）、Redis（缓存）、MinIO/OSS（文件存储）。</w:t>
      </w:r>
    </w:p>
    <w:p w14:paraId="1B4D3D34">
      <w:pPr>
        <w:keepNext w:val="0"/>
        <w:keepLines w:val="0"/>
        <w:widowControl/>
        <w:numPr>
          <w:ilvl w:val="0"/>
          <w:numId w:val="16"/>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数据库</w:t>
      </w:r>
      <w:r>
        <w:rPr>
          <w:rFonts w:hint="eastAsia" w:ascii="宋体" w:hAnsi="宋体" w:eastAsia="宋体" w:cs="宋体"/>
          <w:color w:val="000000" w:themeColor="text1"/>
          <w:sz w:val="28"/>
          <w:szCs w:val="28"/>
          <w14:textFill>
            <w14:solidFill>
              <w14:schemeClr w14:val="tx1"/>
            </w14:solidFill>
          </w14:textFill>
        </w:rPr>
        <w:t>：MySQL 8.0（主从架构）。</w:t>
      </w:r>
    </w:p>
    <w:p w14:paraId="065FB295">
      <w:pPr>
        <w:keepNext w:val="0"/>
        <w:keepLines w:val="0"/>
        <w:widowControl/>
        <w:numPr>
          <w:ilvl w:val="0"/>
          <w:numId w:val="0"/>
        </w:numPr>
        <w:suppressLineNumbers w:val="0"/>
        <w:tabs>
          <w:tab w:val="left" w:pos="720"/>
        </w:tabs>
        <w:spacing w:before="0" w:beforeAutospacing="0" w:after="0" w:afterAutospacing="0" w:line="26" w:lineRule="atLeast"/>
        <w:jc w:val="both"/>
        <w:rPr>
          <w:rFonts w:hint="eastAsia" w:ascii="宋体" w:hAnsi="宋体" w:eastAsia="宋体" w:cs="宋体"/>
          <w:color w:val="000000" w:themeColor="text1"/>
          <w:sz w:val="28"/>
          <w:szCs w:val="28"/>
          <w14:textFill>
            <w14:solidFill>
              <w14:schemeClr w14:val="tx1"/>
            </w14:solidFill>
          </w14:textFill>
        </w:rPr>
      </w:pPr>
    </w:p>
    <w:p w14:paraId="2469DD4C">
      <w:pPr>
        <w:keepNext w:val="0"/>
        <w:keepLines w:val="0"/>
        <w:widowControl/>
        <w:numPr>
          <w:ilvl w:val="0"/>
          <w:numId w:val="0"/>
        </w:numPr>
        <w:suppressLineNumbers w:val="0"/>
        <w:tabs>
          <w:tab w:val="left" w:pos="720"/>
        </w:tabs>
        <w:spacing w:before="0" w:beforeAutospacing="0" w:after="0" w:afterAutospacing="0" w:line="26" w:lineRule="atLeast"/>
        <w:jc w:val="both"/>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230" cy="2626995"/>
            <wp:effectExtent l="0" t="0" r="7620" b="1905"/>
            <wp:docPr id="4" name="图片 4" descr="企业微信截图_1765854932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企业微信截图_17658549321369"/>
                    <pic:cNvPicPr>
                      <a:picLocks noChangeAspect="1"/>
                    </pic:cNvPicPr>
                  </pic:nvPicPr>
                  <pic:blipFill>
                    <a:blip r:embed="rId5"/>
                    <a:stretch>
                      <a:fillRect/>
                    </a:stretch>
                  </pic:blipFill>
                  <pic:spPr>
                    <a:xfrm>
                      <a:off x="0" y="0"/>
                      <a:ext cx="5269230" cy="2626995"/>
                    </a:xfrm>
                    <a:prstGeom prst="rect">
                      <a:avLst/>
                    </a:prstGeom>
                  </pic:spPr>
                </pic:pic>
              </a:graphicData>
            </a:graphic>
          </wp:inline>
        </w:drawing>
      </w:r>
    </w:p>
    <w:p w14:paraId="23B30255">
      <w:pPr>
        <w:keepNext w:val="0"/>
        <w:keepLines w:val="0"/>
        <w:widowControl/>
        <w:numPr>
          <w:ilvl w:val="0"/>
          <w:numId w:val="0"/>
        </w:numPr>
        <w:suppressLineNumbers w:val="0"/>
        <w:spacing w:before="0" w:beforeAutospacing="0" w:after="0" w:afterAutospacing="0" w:line="26" w:lineRule="atLeast"/>
        <w:ind w:left="360" w:leftChars="0"/>
        <w:rPr>
          <w:rFonts w:hint="eastAsia" w:ascii="宋体" w:hAnsi="宋体" w:eastAsia="宋体" w:cs="宋体"/>
          <w:color w:val="000000" w:themeColor="text1"/>
          <w:sz w:val="28"/>
          <w:szCs w:val="28"/>
          <w14:textFill>
            <w14:solidFill>
              <w14:schemeClr w14:val="tx1"/>
            </w14:solidFill>
          </w14:textFill>
        </w:rPr>
      </w:pPr>
    </w:p>
    <w:p w14:paraId="380CCDAE">
      <w:pPr>
        <w:pStyle w:val="3"/>
        <w:numPr>
          <w:ilvl w:val="1"/>
          <w:numId w:val="0"/>
        </w:numPr>
        <w:bidi w:val="0"/>
        <w:ind w:leftChars="0"/>
        <w:rPr>
          <w:rFonts w:hint="eastAsia"/>
        </w:rPr>
      </w:pPr>
      <w:bookmarkStart w:id="24" w:name="_Toc20525"/>
      <w:r>
        <w:rPr>
          <w:rFonts w:hint="eastAsia"/>
          <w:lang w:val="en-US" w:eastAsia="zh-CN"/>
        </w:rPr>
        <w:t>6.3 系统部署图</w:t>
      </w:r>
      <w:bookmarkEnd w:id="24"/>
    </w:p>
    <w:p w14:paraId="6EB17AE3">
      <w:pPr>
        <w:keepNext w:val="0"/>
        <w:keepLines w:val="0"/>
        <w:widowControl/>
        <w:numPr>
          <w:ilvl w:val="0"/>
          <w:numId w:val="1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DMZ区</w:t>
      </w:r>
      <w:r>
        <w:rPr>
          <w:rFonts w:hint="eastAsia" w:ascii="宋体" w:hAnsi="宋体" w:eastAsia="宋体" w:cs="宋体"/>
          <w:color w:val="000000" w:themeColor="text1"/>
          <w:sz w:val="28"/>
          <w:szCs w:val="28"/>
          <w14:textFill>
            <w14:solidFill>
              <w14:schemeClr w14:val="tx1"/>
            </w14:solidFill>
          </w14:textFill>
        </w:rPr>
        <w:t>：部署Nginx负载均衡与API Gateway，负责外部请求的接入与安全过滤。</w:t>
      </w:r>
    </w:p>
    <w:p w14:paraId="537C0F2E">
      <w:pPr>
        <w:keepNext w:val="0"/>
        <w:keepLines w:val="0"/>
        <w:widowControl/>
        <w:numPr>
          <w:ilvl w:val="0"/>
          <w:numId w:val="1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应用区</w:t>
      </w:r>
      <w:r>
        <w:rPr>
          <w:rFonts w:hint="eastAsia" w:ascii="宋体" w:hAnsi="宋体" w:eastAsia="宋体" w:cs="宋体"/>
          <w:color w:val="000000" w:themeColor="text1"/>
          <w:sz w:val="28"/>
          <w:szCs w:val="28"/>
          <w14:textFill>
            <w14:solidFill>
              <w14:schemeClr w14:val="tx1"/>
            </w14:solidFill>
          </w14:textFill>
        </w:rPr>
        <w:t>：部署核心微服务集群（多节点高可用），通过K8s或Docker Swarm进行编排管理。</w:t>
      </w:r>
    </w:p>
    <w:p w14:paraId="043F2E69">
      <w:pPr>
        <w:keepNext w:val="0"/>
        <w:keepLines w:val="0"/>
        <w:widowControl/>
        <w:numPr>
          <w:ilvl w:val="0"/>
          <w:numId w:val="1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数据区</w:t>
      </w:r>
      <w:r>
        <w:rPr>
          <w:rFonts w:hint="eastAsia" w:ascii="宋体" w:hAnsi="宋体" w:eastAsia="宋体" w:cs="宋体"/>
          <w:color w:val="000000" w:themeColor="text1"/>
          <w:sz w:val="28"/>
          <w:szCs w:val="28"/>
          <w14:textFill>
            <w14:solidFill>
              <w14:schemeClr w14:val="tx1"/>
            </w14:solidFill>
          </w14:textFill>
        </w:rPr>
        <w:t>：部署MySQL集群、Redis集群、RocketMQ集群，严禁公网直接访问，确保数据安全。</w:t>
      </w:r>
    </w:p>
    <w:p w14:paraId="63723A1A">
      <w:pPr>
        <w:keepNext w:val="0"/>
        <w:keepLines w:val="0"/>
        <w:widowControl/>
        <w:numPr>
          <w:ilvl w:val="0"/>
          <w:numId w:val="1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文件服务</w:t>
      </w:r>
      <w:r>
        <w:rPr>
          <w:rFonts w:hint="eastAsia" w:ascii="宋体" w:hAnsi="宋体" w:eastAsia="宋体" w:cs="宋体"/>
          <w:color w:val="000000" w:themeColor="text1"/>
          <w:sz w:val="28"/>
          <w:szCs w:val="28"/>
          <w14:textFill>
            <w14:solidFill>
              <w14:schemeClr w14:val="tx1"/>
            </w14:solidFill>
          </w14:textFill>
        </w:rPr>
        <w:t>：对接公司私有云对象存储或阿里云OSS，配置跨区域容灾备份。</w:t>
      </w:r>
    </w:p>
    <w:p w14:paraId="39040F69">
      <w:pPr>
        <w:keepNext w:val="0"/>
        <w:keepLines w:val="0"/>
        <w:widowControl/>
        <w:numPr>
          <w:ilvl w:val="0"/>
          <w:numId w:val="18"/>
        </w:numPr>
        <w:suppressLineNumbers w:val="0"/>
        <w:spacing w:before="0" w:beforeAutospacing="0" w:after="0" w:afterAutospacing="0" w:line="26" w:lineRule="atLeast"/>
        <w:ind w:left="720" w:hanging="36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cs="宋体"/>
        </w:rPr>
        <w:object>
          <v:shape id="_x0000_i1025" o:spt="75" type="#_x0000_t75" style="height:262pt;width:393.15pt;" o:ole="t" filled="f" o:preferrelative="t" stroked="f" coordsize="21600,21600">
            <v:path/>
            <v:fill on="f" focussize="0,0"/>
            <v:stroke on="f"/>
            <v:imagedata r:id="rId6" o:title=""/>
            <o:lock v:ext="edit" aspectratio="t"/>
            <w10:wrap type="none"/>
            <w10:anchorlock/>
          </v:shape>
          <o:OLEObject Type="Link" ProgID="Visio.Drawing.11" ShapeID="_x0000_i1025" UpdateMode="Always" DrawAspect="Content" ObjectID="_1468075725" r:id="rId7">
            <o:LinkType>EnhancedMetaFile</o:LinkType>
            <o:LockedField>false</o:LockedField>
          </o:OLEObject>
        </w:object>
      </w:r>
    </w:p>
    <w:p w14:paraId="2063559B">
      <w:pPr>
        <w:pStyle w:val="2"/>
        <w:bidi w:val="0"/>
        <w:rPr>
          <w:rFonts w:hint="eastAsia"/>
        </w:rPr>
      </w:pPr>
      <w:bookmarkStart w:id="25" w:name="_Toc22136"/>
      <w:r>
        <w:rPr>
          <w:rFonts w:hint="eastAsia"/>
          <w:lang w:val="en-US" w:eastAsia="zh-CN"/>
        </w:rPr>
        <w:t>七、进度计划</w:t>
      </w:r>
      <w:bookmarkEnd w:id="25"/>
    </w:p>
    <w:p w14:paraId="3DC4315D">
      <w:pPr>
        <w:pStyle w:val="14"/>
        <w:keepNext w:val="0"/>
        <w:keepLines w:val="0"/>
        <w:widowControl/>
        <w:suppressLineNumbers w:val="0"/>
        <w:spacing w:before="0" w:beforeAutospacing="0" w:after="0" w:afterAutospacing="0" w:line="240" w:lineRule="auto"/>
        <w:ind w:left="0" w:right="0"/>
        <w:rPr>
          <w:rStyle w:val="17"/>
          <w:rFonts w:hint="eastAsia" w:ascii="宋体" w:hAnsi="宋体" w:eastAsia="宋体" w:cs="宋体"/>
          <w:color w:val="000000" w:themeColor="text1"/>
          <w:sz w:val="28"/>
          <w:szCs w:val="28"/>
          <w14:textFill>
            <w14:solidFill>
              <w14:schemeClr w14:val="tx1"/>
            </w14:solidFill>
          </w14:textFill>
        </w:rPr>
      </w:pPr>
      <w:r>
        <w:rPr>
          <w:rStyle w:val="17"/>
          <w:rFonts w:hint="eastAsia" w:ascii="宋体" w:hAnsi="宋体" w:eastAsia="宋体" w:cs="宋体"/>
          <w:color w:val="000000" w:themeColor="text1"/>
          <w:sz w:val="28"/>
          <w:szCs w:val="28"/>
          <w14:textFill>
            <w14:solidFill>
              <w14:schemeClr w14:val="tx1"/>
            </w14:solidFill>
          </w14:textFill>
        </w:rPr>
        <w:t>通用中台智签宝系统项目进度表</w:t>
      </w:r>
    </w:p>
    <w:tbl>
      <w:tblPr>
        <w:tblStyle w:val="15"/>
        <w:tblW w:w="7440" w:type="dxa"/>
        <w:tblInd w:w="-25" w:type="dxa"/>
        <w:tblLayout w:type="fixed"/>
        <w:tblCellMar>
          <w:top w:w="0" w:type="dxa"/>
          <w:left w:w="0" w:type="dxa"/>
          <w:bottom w:w="0" w:type="dxa"/>
          <w:right w:w="0" w:type="dxa"/>
        </w:tblCellMar>
      </w:tblPr>
      <w:tblGrid>
        <w:gridCol w:w="810"/>
        <w:gridCol w:w="1755"/>
        <w:gridCol w:w="1830"/>
        <w:gridCol w:w="1425"/>
        <w:gridCol w:w="1620"/>
      </w:tblGrid>
      <w:tr w14:paraId="29AC60EA">
        <w:tblPrEx>
          <w:tblCellMar>
            <w:top w:w="0" w:type="dxa"/>
            <w:left w:w="0" w:type="dxa"/>
            <w:bottom w:w="0" w:type="dxa"/>
            <w:right w:w="0" w:type="dxa"/>
          </w:tblCellMar>
        </w:tblPrEx>
        <w:trPr>
          <w:trHeight w:val="625" w:hRule="atLeast"/>
        </w:trPr>
        <w:tc>
          <w:tcPr>
            <w:tcW w:w="7440" w:type="dxa"/>
            <w:gridSpan w:val="5"/>
            <w:tcBorders>
              <w:top w:val="single" w:color="000000" w:sz="8" w:space="0"/>
              <w:left w:val="single" w:color="000000" w:sz="8" w:space="0"/>
              <w:bottom w:val="single" w:color="000000" w:sz="4" w:space="0"/>
              <w:right w:val="single" w:color="000000" w:sz="4" w:space="0"/>
            </w:tcBorders>
            <w:noWrap w:val="0"/>
            <w:tcMar>
              <w:top w:w="15" w:type="dxa"/>
              <w:left w:w="15" w:type="dxa"/>
              <w:right w:w="15" w:type="dxa"/>
            </w:tcMar>
            <w:vAlign w:val="center"/>
          </w:tcPr>
          <w:p w14:paraId="385AE090">
            <w:pPr>
              <w:widowControl/>
              <w:jc w:val="center"/>
              <w:textAlignment w:val="center"/>
              <w:rPr>
                <w:rFonts w:hint="eastAsia" w:ascii="宋体" w:hAnsi="宋体" w:cs="宋体"/>
                <w:b/>
                <w:color w:val="000000"/>
                <w:sz w:val="32"/>
                <w:szCs w:val="32"/>
              </w:rPr>
            </w:pPr>
            <w:r>
              <w:rPr>
                <w:rFonts w:hint="eastAsia" w:ascii="宋体" w:hAnsi="宋体" w:cs="宋体"/>
                <w:b/>
                <w:color w:val="000000"/>
                <w:kern w:val="0"/>
                <w:sz w:val="32"/>
                <w:szCs w:val="32"/>
                <w:highlight w:val="none"/>
                <w:lang w:val="en-US" w:eastAsia="zh-CN" w:bidi="ar"/>
              </w:rPr>
              <w:t>智签宝系统</w:t>
            </w:r>
            <w:r>
              <w:rPr>
                <w:rFonts w:hint="eastAsia" w:ascii="宋体" w:hAnsi="宋体" w:cs="宋体"/>
                <w:b/>
                <w:color w:val="000000"/>
                <w:kern w:val="0"/>
                <w:sz w:val="32"/>
                <w:szCs w:val="32"/>
                <w:highlight w:val="none"/>
                <w:lang w:bidi="ar"/>
              </w:rPr>
              <w:t>项目</w:t>
            </w:r>
          </w:p>
        </w:tc>
      </w:tr>
      <w:tr w14:paraId="199543C3">
        <w:tblPrEx>
          <w:tblCellMar>
            <w:top w:w="0" w:type="dxa"/>
            <w:left w:w="0" w:type="dxa"/>
            <w:bottom w:w="0" w:type="dxa"/>
            <w:right w:w="0" w:type="dxa"/>
          </w:tblCellMar>
        </w:tblPrEx>
        <w:trPr>
          <w:trHeight w:val="48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2849CBB6">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编号</w:t>
            </w:r>
          </w:p>
        </w:tc>
        <w:tc>
          <w:tcPr>
            <w:tcW w:w="17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C28F365">
            <w:pPr>
              <w:widowControl/>
              <w:jc w:val="center"/>
              <w:textAlignment w:val="center"/>
              <w:rPr>
                <w:rFonts w:hint="eastAsia" w:ascii="宋体" w:hAnsi="宋体" w:cs="宋体"/>
                <w:b/>
                <w:color w:val="000000"/>
                <w:kern w:val="0"/>
                <w:sz w:val="20"/>
                <w:szCs w:val="20"/>
                <w:lang w:bidi="ar"/>
              </w:rPr>
            </w:pPr>
            <w:r>
              <w:rPr>
                <w:rFonts w:hint="eastAsia" w:ascii="宋体" w:hAnsi="宋体" w:cs="宋体"/>
                <w:b/>
                <w:color w:val="000000"/>
                <w:kern w:val="0"/>
                <w:sz w:val="20"/>
                <w:szCs w:val="20"/>
                <w:lang w:bidi="ar"/>
              </w:rPr>
              <w:t>系统级工作</w:t>
            </w:r>
          </w:p>
          <w:p w14:paraId="296EAB1E">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或子系统</w:t>
            </w: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A12871">
            <w:pPr>
              <w:widowControl/>
              <w:jc w:val="left"/>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二级分类</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25A7E30">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开始时间</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17BA0037">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结束时间</w:t>
            </w:r>
          </w:p>
        </w:tc>
      </w:tr>
      <w:tr w14:paraId="07D0D359">
        <w:tblPrEx>
          <w:tblCellMar>
            <w:top w:w="0" w:type="dxa"/>
            <w:left w:w="0" w:type="dxa"/>
            <w:bottom w:w="0" w:type="dxa"/>
            <w:right w:w="0" w:type="dxa"/>
          </w:tblCellMar>
        </w:tblPrEx>
        <w:trPr>
          <w:trHeight w:val="28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0BE0D53A">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1</w:t>
            </w:r>
          </w:p>
        </w:tc>
        <w:tc>
          <w:tcPr>
            <w:tcW w:w="1755" w:type="dxa"/>
            <w:vMerge w:val="restart"/>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D8CF068">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需求分析阶段</w:t>
            </w: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F6E3DB7">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业务需求沟通</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55E3740">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/1/</w:t>
            </w:r>
            <w:r>
              <w:rPr>
                <w:rFonts w:ascii="宋体" w:hAnsi="宋体" w:cs="宋体"/>
                <w:color w:val="000000"/>
                <w:sz w:val="20"/>
                <w:szCs w:val="20"/>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7989889D">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/1/10</w:t>
            </w:r>
          </w:p>
        </w:tc>
      </w:tr>
      <w:tr w14:paraId="4FD03680">
        <w:tblPrEx>
          <w:tblCellMar>
            <w:top w:w="0" w:type="dxa"/>
            <w:left w:w="0" w:type="dxa"/>
            <w:bottom w:w="0" w:type="dxa"/>
            <w:right w:w="0" w:type="dxa"/>
          </w:tblCellMar>
        </w:tblPrEx>
        <w:trPr>
          <w:trHeight w:val="9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059CEBBC">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2</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5B2EC2B">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58BB6B2">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业务需求调研</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6DCF1C5">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/1/11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1290D689">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/1/20</w:t>
            </w:r>
          </w:p>
        </w:tc>
      </w:tr>
      <w:tr w14:paraId="2C6A4DC8">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07462B82">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3</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7D430D5">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C11F569">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业务需求分析</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895E510">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/1/21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5904698A">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/2/1</w:t>
            </w:r>
          </w:p>
        </w:tc>
      </w:tr>
      <w:tr w14:paraId="701EB73D">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3C1652E3">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4</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422FBCF">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D2C64A8">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产品功能原型</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A197226">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/2/1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0C7934FB">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/2/23</w:t>
            </w:r>
          </w:p>
        </w:tc>
      </w:tr>
      <w:tr w14:paraId="04CE4808">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38A9860B">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5</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D823BC4">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7EB479A">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业务需求确认</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9494B07">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/2/26</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291F6A1C">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/2/30</w:t>
            </w:r>
          </w:p>
        </w:tc>
      </w:tr>
      <w:tr w14:paraId="5DD70147">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67C86B26">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6</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095B74E">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58CAAF">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整体调整</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6CE1D3C">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5EE34338">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/3/10</w:t>
            </w:r>
          </w:p>
        </w:tc>
      </w:tr>
      <w:tr w14:paraId="507A2113">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74B5BE3B">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7</w:t>
            </w:r>
          </w:p>
        </w:tc>
        <w:tc>
          <w:tcPr>
            <w:tcW w:w="1755" w:type="dxa"/>
            <w:vMerge w:val="restart"/>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1CB023F">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设计阶段</w:t>
            </w: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5776BD4">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系统架构设计</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7A01EE1">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/3/11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5167A1D7">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/3/14</w:t>
            </w:r>
          </w:p>
        </w:tc>
      </w:tr>
      <w:tr w14:paraId="6C95178D">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468E1736">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8</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1519FBD">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7E2AF52">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数据库设计</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9F48977">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/3/15</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3BF3AF8C">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/3/25</w:t>
            </w:r>
          </w:p>
        </w:tc>
      </w:tr>
      <w:tr w14:paraId="62E14637">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4A95C9BB">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9</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E73F6B6">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F51FAC9">
            <w:pPr>
              <w:widowControl/>
              <w:jc w:val="left"/>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运营系统设计</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3EA22A3">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/3/26</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007ECE2F">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/4/15</w:t>
            </w:r>
          </w:p>
        </w:tc>
      </w:tr>
      <w:tr w14:paraId="2A77CCD6">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04DBF5D9">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10</w:t>
            </w:r>
          </w:p>
        </w:tc>
        <w:tc>
          <w:tcPr>
            <w:tcW w:w="1755" w:type="dxa"/>
            <w:vMerge w:val="restart"/>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93A1366">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 xml:space="preserve"> 开发阶段</w:t>
            </w: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1BAB9C1">
            <w:pPr>
              <w:widowControl/>
              <w:jc w:val="left"/>
              <w:textAlignment w:val="center"/>
              <w:rPr>
                <w:rFonts w:hint="eastAsia" w:ascii="宋体" w:hAnsi="宋体" w:cs="宋体"/>
                <w:color w:val="000000"/>
                <w:sz w:val="20"/>
                <w:szCs w:val="20"/>
              </w:rPr>
            </w:pPr>
            <w:r>
              <w:rPr>
                <w:rFonts w:hint="eastAsia" w:ascii="宋体" w:hAnsi="宋体" w:cs="宋体"/>
                <w:color w:val="000000"/>
                <w:sz w:val="20"/>
                <w:szCs w:val="20"/>
                <w:lang w:val="en-US" w:eastAsia="zh-CN"/>
              </w:rPr>
              <w:t>产品</w:t>
            </w:r>
            <w:r>
              <w:rPr>
                <w:rFonts w:hint="eastAsia" w:ascii="宋体" w:hAnsi="宋体" w:cs="宋体"/>
                <w:color w:val="000000"/>
                <w:sz w:val="20"/>
                <w:szCs w:val="20"/>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CFA3F98">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/4/16</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554D31EC">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/4/30</w:t>
            </w:r>
          </w:p>
        </w:tc>
      </w:tr>
      <w:tr w14:paraId="3DE813AA">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1319F75F">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11</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EBC4375">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611C635">
            <w:pPr>
              <w:widowControl/>
              <w:jc w:val="left"/>
              <w:textAlignment w:val="center"/>
              <w:rPr>
                <w:rFonts w:hint="eastAsia" w:ascii="宋体" w:hAnsi="宋体" w:cs="宋体"/>
                <w:color w:val="000000"/>
                <w:sz w:val="20"/>
                <w:szCs w:val="20"/>
              </w:rPr>
            </w:pPr>
            <w:r>
              <w:rPr>
                <w:rFonts w:hint="eastAsia" w:ascii="宋体" w:hAnsi="宋体" w:cs="宋体"/>
                <w:color w:val="000000"/>
                <w:sz w:val="20"/>
                <w:szCs w:val="20"/>
                <w:lang w:val="en-US" w:eastAsia="zh-CN"/>
              </w:rPr>
              <w:t>模板</w:t>
            </w:r>
            <w:r>
              <w:rPr>
                <w:rFonts w:hint="eastAsia" w:ascii="宋体" w:hAnsi="宋体" w:cs="宋体"/>
                <w:color w:val="000000"/>
                <w:sz w:val="20"/>
                <w:szCs w:val="20"/>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04F436E">
            <w:pPr>
              <w:rPr>
                <w:rFonts w:hint="eastAsia" w:ascii="宋体" w:hAnsi="宋体" w:cs="宋体" w:eastAsiaTheme="minorEastAsia"/>
                <w:color w:val="000000"/>
                <w:sz w:val="20"/>
                <w:szCs w:val="20"/>
                <w:lang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/5/</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1719B05F">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/5/</w:t>
            </w:r>
            <w:r>
              <w:rPr>
                <w:rFonts w:hint="eastAsia" w:ascii="宋体" w:hAnsi="宋体" w:cs="宋体"/>
                <w:color w:val="000000"/>
                <w:sz w:val="20"/>
                <w:szCs w:val="20"/>
                <w:lang w:val="en-US" w:eastAsia="zh-CN"/>
              </w:rPr>
              <w:t>15</w:t>
            </w:r>
          </w:p>
        </w:tc>
      </w:tr>
      <w:tr w14:paraId="135BF321">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5B856F8A">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12</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4675BEA">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65E2D5">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val="en-US" w:eastAsia="zh-CN" w:bidi="ar"/>
              </w:rPr>
              <w:t>合同</w:t>
            </w:r>
            <w:r>
              <w:rPr>
                <w:rFonts w:hint="eastAsia" w:ascii="宋体" w:hAnsi="宋体" w:cs="宋体"/>
                <w:color w:val="000000"/>
                <w:kern w:val="0"/>
                <w:sz w:val="20"/>
                <w:szCs w:val="20"/>
                <w:lang w:bidi="ar"/>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6A5BF50">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5</w:t>
            </w:r>
            <w:r>
              <w:rPr>
                <w:rFonts w:hint="eastAsia" w:ascii="宋体" w:hAnsi="宋体" w:cs="宋体"/>
                <w:color w:val="000000"/>
                <w:sz w:val="20"/>
                <w:szCs w:val="20"/>
              </w:rPr>
              <w:t>/</w:t>
            </w:r>
            <w:r>
              <w:rPr>
                <w:rFonts w:hint="eastAsia" w:ascii="宋体" w:hAnsi="宋体" w:cs="宋体"/>
                <w:color w:val="000000"/>
                <w:sz w:val="20"/>
                <w:szCs w:val="20"/>
                <w:lang w:val="en-US" w:eastAsia="zh-CN"/>
              </w:rPr>
              <w:t>16</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688DF869">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5</w:t>
            </w:r>
            <w:r>
              <w:rPr>
                <w:rFonts w:hint="eastAsia" w:ascii="宋体" w:hAnsi="宋体" w:cs="宋体"/>
                <w:color w:val="000000"/>
                <w:sz w:val="20"/>
                <w:szCs w:val="20"/>
              </w:rPr>
              <w:t>/</w:t>
            </w:r>
            <w:r>
              <w:rPr>
                <w:rFonts w:hint="eastAsia" w:ascii="宋体" w:hAnsi="宋体" w:cs="宋体"/>
                <w:color w:val="000000"/>
                <w:sz w:val="20"/>
                <w:szCs w:val="20"/>
                <w:lang w:val="en-US" w:eastAsia="zh-CN"/>
              </w:rPr>
              <w:t>30</w:t>
            </w:r>
          </w:p>
        </w:tc>
      </w:tr>
      <w:tr w14:paraId="174FA7B4">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5DF40E89">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13</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45E7111">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A4A9227">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val="en-US" w:eastAsia="zh-CN" w:bidi="ar"/>
              </w:rPr>
              <w:t>变量</w:t>
            </w:r>
            <w:r>
              <w:rPr>
                <w:rFonts w:hint="eastAsia" w:ascii="宋体" w:hAnsi="宋体" w:cs="宋体"/>
                <w:color w:val="000000"/>
                <w:kern w:val="0"/>
                <w:sz w:val="20"/>
                <w:szCs w:val="20"/>
                <w:lang w:bidi="ar"/>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155ED8F">
            <w:pPr>
              <w:rPr>
                <w:rFonts w:hint="eastAsia"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6</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6ECC24DB">
            <w:pPr>
              <w:rPr>
                <w:rFonts w:hint="default"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6</w:t>
            </w:r>
            <w:r>
              <w:rPr>
                <w:rFonts w:hint="eastAsia" w:ascii="宋体" w:hAnsi="宋体" w:cs="宋体"/>
                <w:color w:val="000000"/>
                <w:sz w:val="20"/>
                <w:szCs w:val="20"/>
              </w:rPr>
              <w:t>/</w:t>
            </w:r>
            <w:r>
              <w:rPr>
                <w:rFonts w:hint="eastAsia" w:ascii="宋体" w:hAnsi="宋体" w:cs="宋体"/>
                <w:color w:val="000000"/>
                <w:sz w:val="20"/>
                <w:szCs w:val="20"/>
                <w:lang w:val="en-US" w:eastAsia="zh-CN"/>
              </w:rPr>
              <w:t>11</w:t>
            </w:r>
          </w:p>
        </w:tc>
      </w:tr>
      <w:tr w14:paraId="424CCB74">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0C62E146">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14</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4ED285E">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676D70C">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val="en-US" w:eastAsia="zh-CN" w:bidi="ar"/>
              </w:rPr>
              <w:t>字典</w:t>
            </w:r>
            <w:r>
              <w:rPr>
                <w:rFonts w:hint="eastAsia" w:ascii="宋体" w:hAnsi="宋体" w:cs="宋体"/>
                <w:color w:val="000000"/>
                <w:kern w:val="0"/>
                <w:sz w:val="20"/>
                <w:szCs w:val="20"/>
                <w:lang w:bidi="ar"/>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3E5098C">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6</w:t>
            </w:r>
            <w:r>
              <w:rPr>
                <w:rFonts w:hint="eastAsia" w:ascii="宋体" w:hAnsi="宋体" w:cs="宋体"/>
                <w:color w:val="000000"/>
                <w:sz w:val="20"/>
                <w:szCs w:val="20"/>
              </w:rPr>
              <w:t>/</w:t>
            </w:r>
            <w:r>
              <w:rPr>
                <w:rFonts w:hint="eastAsia" w:ascii="宋体" w:hAnsi="宋体" w:cs="宋体"/>
                <w:color w:val="000000"/>
                <w:sz w:val="20"/>
                <w:szCs w:val="20"/>
                <w:lang w:val="en-US" w:eastAsia="zh-CN"/>
              </w:rPr>
              <w:t>12</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3C54F0A9">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6</w:t>
            </w:r>
            <w:r>
              <w:rPr>
                <w:rFonts w:hint="eastAsia" w:ascii="宋体" w:hAnsi="宋体" w:cs="宋体"/>
                <w:color w:val="000000"/>
                <w:sz w:val="20"/>
                <w:szCs w:val="20"/>
              </w:rPr>
              <w:t>/</w:t>
            </w:r>
            <w:r>
              <w:rPr>
                <w:rFonts w:hint="eastAsia" w:ascii="宋体" w:hAnsi="宋体" w:cs="宋体"/>
                <w:color w:val="000000"/>
                <w:sz w:val="20"/>
                <w:szCs w:val="20"/>
                <w:lang w:val="en-US" w:eastAsia="zh-CN"/>
              </w:rPr>
              <w:t>30</w:t>
            </w:r>
          </w:p>
        </w:tc>
      </w:tr>
      <w:tr w14:paraId="49C5830A">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316B2471">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15</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4CBBBB8">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C72A0D6">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模板版本管理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2BFE6E2">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7</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72D6DE30">
            <w:pPr>
              <w:rPr>
                <w:rFonts w:hint="default"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7</w:t>
            </w:r>
            <w:r>
              <w:rPr>
                <w:rFonts w:hint="eastAsia" w:ascii="宋体" w:hAnsi="宋体" w:cs="宋体"/>
                <w:color w:val="000000"/>
                <w:sz w:val="20"/>
                <w:szCs w:val="20"/>
              </w:rPr>
              <w:t>/</w:t>
            </w:r>
            <w:r>
              <w:rPr>
                <w:rFonts w:hint="eastAsia" w:ascii="宋体" w:hAnsi="宋体" w:cs="宋体"/>
                <w:color w:val="000000"/>
                <w:sz w:val="20"/>
                <w:szCs w:val="20"/>
                <w:lang w:val="en-US" w:eastAsia="zh-CN"/>
              </w:rPr>
              <w:t>10</w:t>
            </w:r>
          </w:p>
        </w:tc>
      </w:tr>
      <w:tr w14:paraId="5C26AC5F">
        <w:tblPrEx>
          <w:tblCellMar>
            <w:top w:w="0" w:type="dxa"/>
            <w:left w:w="0" w:type="dxa"/>
            <w:bottom w:w="0" w:type="dxa"/>
            <w:right w:w="0" w:type="dxa"/>
          </w:tblCellMar>
        </w:tblPrEx>
        <w:trPr>
          <w:trHeight w:val="262"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594966B4">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16</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47B31C8">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5CC1B34">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模板操作日志</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B5582B">
            <w:pPr>
              <w:rPr>
                <w:rFonts w:hint="default"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7</w:t>
            </w:r>
            <w:r>
              <w:rPr>
                <w:rFonts w:hint="eastAsia" w:ascii="宋体" w:hAnsi="宋体" w:cs="宋体"/>
                <w:color w:val="000000"/>
                <w:sz w:val="20"/>
                <w:szCs w:val="20"/>
              </w:rPr>
              <w:t>/</w:t>
            </w:r>
            <w:r>
              <w:rPr>
                <w:rFonts w:hint="eastAsia" w:ascii="宋体" w:hAnsi="宋体" w:cs="宋体"/>
                <w:color w:val="000000"/>
                <w:sz w:val="20"/>
                <w:szCs w:val="20"/>
                <w:lang w:val="en-US" w:eastAsia="zh-CN"/>
              </w:rPr>
              <w:t>11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0F8D1A4A">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7</w:t>
            </w:r>
            <w:r>
              <w:rPr>
                <w:rFonts w:hint="eastAsia" w:ascii="宋体" w:hAnsi="宋体" w:cs="宋体"/>
                <w:color w:val="000000"/>
                <w:sz w:val="20"/>
                <w:szCs w:val="20"/>
              </w:rPr>
              <w:t>/2</w:t>
            </w:r>
            <w:r>
              <w:rPr>
                <w:rFonts w:hint="eastAsia" w:ascii="宋体" w:hAnsi="宋体" w:cs="宋体"/>
                <w:color w:val="000000"/>
                <w:sz w:val="20"/>
                <w:szCs w:val="20"/>
                <w:lang w:val="en-US" w:eastAsia="zh-CN"/>
              </w:rPr>
              <w:t>7</w:t>
            </w:r>
          </w:p>
        </w:tc>
      </w:tr>
      <w:tr w14:paraId="46A6DC2A">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36BC5DAF">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17</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8A3B767">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9C1537">
            <w:pPr>
              <w:widowControl/>
              <w:jc w:val="left"/>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val="en-US" w:eastAsia="zh-CN" w:bidi="ar"/>
              </w:rPr>
              <w:t>PDF签章</w:t>
            </w:r>
            <w:r>
              <w:rPr>
                <w:rFonts w:hint="eastAsia" w:ascii="宋体" w:hAnsi="宋体" w:cs="宋体"/>
                <w:color w:val="000000"/>
                <w:kern w:val="0"/>
                <w:sz w:val="20"/>
                <w:szCs w:val="20"/>
                <w:lang w:bidi="ar"/>
              </w:rPr>
              <w:t>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BD46380">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7</w:t>
            </w:r>
            <w:r>
              <w:rPr>
                <w:rFonts w:hint="eastAsia" w:ascii="宋体" w:hAnsi="宋体" w:cs="宋体"/>
                <w:color w:val="000000"/>
                <w:sz w:val="20"/>
                <w:szCs w:val="20"/>
              </w:rPr>
              <w:t>/2</w:t>
            </w:r>
            <w:r>
              <w:rPr>
                <w:rFonts w:hint="eastAsia" w:ascii="宋体" w:hAnsi="宋体" w:cs="宋体"/>
                <w:color w:val="000000"/>
                <w:sz w:val="20"/>
                <w:szCs w:val="20"/>
                <w:lang w:val="en-US" w:eastAsia="zh-CN"/>
              </w:rPr>
              <w:t>8</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6F428255">
            <w:pPr>
              <w:rPr>
                <w:rFonts w:hint="default"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8</w:t>
            </w:r>
            <w:r>
              <w:rPr>
                <w:rFonts w:hint="eastAsia" w:ascii="宋体" w:hAnsi="宋体" w:cs="宋体"/>
                <w:color w:val="000000"/>
                <w:sz w:val="20"/>
                <w:szCs w:val="20"/>
              </w:rPr>
              <w:t>/</w:t>
            </w:r>
            <w:r>
              <w:rPr>
                <w:rFonts w:hint="eastAsia" w:ascii="宋体" w:hAnsi="宋体" w:cs="宋体"/>
                <w:color w:val="000000"/>
                <w:sz w:val="20"/>
                <w:szCs w:val="20"/>
                <w:lang w:val="en-US" w:eastAsia="zh-CN"/>
              </w:rPr>
              <w:t>10</w:t>
            </w:r>
          </w:p>
        </w:tc>
      </w:tr>
      <w:tr w14:paraId="3AF8B287">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75B4C79E">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18</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257D2F">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7AA3367">
            <w:pPr>
              <w:widowControl/>
              <w:jc w:val="left"/>
              <w:textAlignment w:val="center"/>
              <w:rPr>
                <w:rFonts w:hint="default" w:ascii="宋体" w:hAnsi="宋体" w:cs="宋体" w:eastAsiaTheme="minorEastAsia"/>
                <w:color w:val="000000"/>
                <w:sz w:val="20"/>
                <w:szCs w:val="20"/>
                <w:lang w:val="en-US" w:eastAsia="zh-CN"/>
              </w:rPr>
            </w:pPr>
            <w:r>
              <w:rPr>
                <w:rFonts w:hint="eastAsia" w:ascii="宋体" w:hAnsi="宋体" w:cs="宋体"/>
                <w:color w:val="000000"/>
                <w:kern w:val="0"/>
                <w:sz w:val="20"/>
                <w:szCs w:val="20"/>
                <w:lang w:bidi="ar"/>
              </w:rPr>
              <w:t>模板</w:t>
            </w:r>
            <w:r>
              <w:rPr>
                <w:rFonts w:hint="eastAsia" w:ascii="宋体" w:hAnsi="宋体" w:cs="宋体"/>
                <w:color w:val="000000"/>
                <w:kern w:val="0"/>
                <w:sz w:val="20"/>
                <w:szCs w:val="20"/>
                <w:lang w:val="en-US" w:eastAsia="zh-CN" w:bidi="ar"/>
              </w:rPr>
              <w:t>自动映射</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680816C">
            <w:pPr>
              <w:rPr>
                <w:rFonts w:hint="default" w:ascii="宋体" w:hAnsi="宋体" w:cs="宋体" w:eastAsiaTheme="minorEastAsia"/>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8</w:t>
            </w:r>
            <w:r>
              <w:rPr>
                <w:rFonts w:hint="eastAsia" w:ascii="宋体" w:hAnsi="宋体" w:cs="宋体"/>
                <w:color w:val="000000"/>
                <w:sz w:val="20"/>
                <w:szCs w:val="20"/>
              </w:rPr>
              <w:t>/</w:t>
            </w:r>
            <w:r>
              <w:rPr>
                <w:rFonts w:hint="eastAsia" w:ascii="宋体" w:hAnsi="宋体" w:cs="宋体"/>
                <w:color w:val="000000"/>
                <w:sz w:val="20"/>
                <w:szCs w:val="20"/>
                <w:lang w:val="en-US" w:eastAsia="zh-CN"/>
              </w:rPr>
              <w:t>11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17528D8B">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6</w:t>
            </w:r>
            <w:r>
              <w:rPr>
                <w:rFonts w:hint="eastAsia" w:ascii="宋体" w:hAnsi="宋体" w:cs="宋体"/>
                <w:color w:val="000000"/>
                <w:sz w:val="20"/>
                <w:szCs w:val="20"/>
              </w:rPr>
              <w:t>/18</w:t>
            </w:r>
          </w:p>
        </w:tc>
      </w:tr>
      <w:tr w14:paraId="3B01BB93">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2CF11EBA">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19</w:t>
            </w:r>
          </w:p>
        </w:tc>
        <w:tc>
          <w:tcPr>
            <w:tcW w:w="1755"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048D344">
            <w:pPr>
              <w:jc w:val="center"/>
              <w:rPr>
                <w:rFonts w:hint="eastAsia" w:ascii="宋体" w:hAnsi="宋体" w:cs="宋体"/>
                <w:color w:val="000000"/>
                <w:sz w:val="20"/>
                <w:szCs w:val="20"/>
              </w:rPr>
            </w:pPr>
          </w:p>
        </w:tc>
        <w:tc>
          <w:tcPr>
            <w:tcW w:w="183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C2DEEE0">
            <w:pPr>
              <w:widowControl/>
              <w:jc w:val="left"/>
              <w:textAlignment w:val="center"/>
              <w:rPr>
                <w:rFonts w:hint="default" w:ascii="宋体" w:hAnsi="宋体" w:cs="宋体" w:eastAsiaTheme="minorEastAsia"/>
                <w:color w:val="000000"/>
                <w:sz w:val="20"/>
                <w:szCs w:val="20"/>
                <w:lang w:val="en-US" w:eastAsia="zh-CN"/>
              </w:rPr>
            </w:pPr>
            <w:r>
              <w:rPr>
                <w:rFonts w:hint="eastAsia" w:ascii="宋体" w:hAnsi="宋体" w:cs="宋体"/>
                <w:color w:val="000000"/>
                <w:kern w:val="0"/>
                <w:sz w:val="20"/>
                <w:szCs w:val="20"/>
                <w:lang w:val="en-US" w:eastAsia="zh-CN" w:bidi="ar"/>
              </w:rPr>
              <w:t>平台模板管理</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4FE26E6">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8</w:t>
            </w:r>
            <w:r>
              <w:rPr>
                <w:rFonts w:hint="eastAsia" w:ascii="宋体" w:hAnsi="宋体" w:cs="宋体"/>
                <w:color w:val="000000"/>
                <w:sz w:val="20"/>
                <w:szCs w:val="20"/>
              </w:rPr>
              <w:t>/</w:t>
            </w:r>
            <w:r>
              <w:rPr>
                <w:rFonts w:hint="eastAsia" w:ascii="宋体" w:hAnsi="宋体" w:cs="宋体"/>
                <w:color w:val="000000"/>
                <w:sz w:val="20"/>
                <w:szCs w:val="20"/>
                <w:lang w:val="en-US" w:eastAsia="zh-CN"/>
              </w:rPr>
              <w:t>19</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1453B522">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8</w:t>
            </w:r>
            <w:r>
              <w:rPr>
                <w:rFonts w:hint="eastAsia" w:ascii="宋体" w:hAnsi="宋体" w:cs="宋体"/>
                <w:color w:val="000000"/>
                <w:sz w:val="20"/>
                <w:szCs w:val="20"/>
              </w:rPr>
              <w:t>/</w:t>
            </w:r>
            <w:r>
              <w:rPr>
                <w:rFonts w:hint="eastAsia" w:ascii="宋体" w:hAnsi="宋体" w:cs="宋体"/>
                <w:color w:val="000000"/>
                <w:sz w:val="20"/>
                <w:szCs w:val="20"/>
                <w:lang w:val="en-US" w:eastAsia="zh-CN"/>
              </w:rPr>
              <w:t>30</w:t>
            </w:r>
          </w:p>
        </w:tc>
      </w:tr>
      <w:tr w14:paraId="28FEB84E">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389CDF44">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20</w:t>
            </w:r>
          </w:p>
        </w:tc>
        <w:tc>
          <w:tcPr>
            <w:tcW w:w="3585" w:type="dxa"/>
            <w:gridSpan w:val="2"/>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73ECCC3">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集成测试、接口联调</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51A5E3C">
            <w:pPr>
              <w:rPr>
                <w:rFonts w:hint="eastAsia"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9</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42A92CBF">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9</w:t>
            </w:r>
            <w:r>
              <w:rPr>
                <w:rFonts w:hint="eastAsia" w:ascii="宋体" w:hAnsi="宋体" w:cs="宋体"/>
                <w:color w:val="000000"/>
                <w:sz w:val="20"/>
                <w:szCs w:val="20"/>
              </w:rPr>
              <w:t>/</w:t>
            </w:r>
            <w:r>
              <w:rPr>
                <w:rFonts w:hint="eastAsia" w:ascii="宋体" w:hAnsi="宋体" w:cs="宋体"/>
                <w:color w:val="000000"/>
                <w:sz w:val="20"/>
                <w:szCs w:val="20"/>
                <w:lang w:val="en-US" w:eastAsia="zh-CN"/>
              </w:rPr>
              <w:t>30</w:t>
            </w:r>
          </w:p>
        </w:tc>
      </w:tr>
      <w:tr w14:paraId="78F3F65D">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28243F54">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21</w:t>
            </w:r>
          </w:p>
        </w:tc>
        <w:tc>
          <w:tcPr>
            <w:tcW w:w="3585" w:type="dxa"/>
            <w:gridSpan w:val="2"/>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606CC90">
            <w:pPr>
              <w:widowControl/>
              <w:jc w:val="center"/>
              <w:textAlignment w:val="center"/>
              <w:rPr>
                <w:rFonts w:hint="eastAsia" w:ascii="宋体" w:hAnsi="宋体" w:cs="宋体"/>
                <w:color w:val="000000"/>
                <w:sz w:val="20"/>
                <w:szCs w:val="20"/>
              </w:rPr>
            </w:pPr>
            <w:r>
              <w:rPr>
                <w:rFonts w:hint="eastAsia" w:ascii="宋体" w:hAnsi="宋体" w:cs="宋体"/>
                <w:color w:val="000000"/>
                <w:kern w:val="0"/>
                <w:sz w:val="20"/>
                <w:szCs w:val="20"/>
                <w:lang w:bidi="ar"/>
              </w:rPr>
              <w:t>系统测试、性能测试</w:t>
            </w:r>
          </w:p>
        </w:tc>
        <w:tc>
          <w:tcPr>
            <w:tcW w:w="14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B9C9DEB">
            <w:pPr>
              <w:rPr>
                <w:rFonts w:hint="default" w:ascii="宋体" w:hAnsi="宋体" w:eastAsia="宋体" w:cs="宋体"/>
                <w:color w:val="000000"/>
                <w:sz w:val="20"/>
                <w:szCs w:val="20"/>
                <w:lang w:val="en-US" w:eastAsia="zh-CN"/>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10</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noWrap w:val="0"/>
            <w:tcMar>
              <w:top w:w="15" w:type="dxa"/>
              <w:left w:w="15" w:type="dxa"/>
              <w:right w:w="15" w:type="dxa"/>
            </w:tcMar>
            <w:vAlign w:val="center"/>
          </w:tcPr>
          <w:p w14:paraId="272AE1F1">
            <w:pPr>
              <w:rPr>
                <w:rFonts w:hint="eastAsia" w:ascii="宋体" w:hAnsi="宋体" w:cs="宋体"/>
                <w:color w:val="000000"/>
                <w:sz w:val="20"/>
                <w:szCs w:val="20"/>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10</w:t>
            </w:r>
            <w:r>
              <w:rPr>
                <w:rFonts w:hint="eastAsia" w:ascii="宋体" w:hAnsi="宋体" w:cs="宋体"/>
                <w:color w:val="000000"/>
                <w:sz w:val="20"/>
                <w:szCs w:val="20"/>
              </w:rPr>
              <w:t>/</w:t>
            </w:r>
            <w:r>
              <w:rPr>
                <w:rFonts w:hint="eastAsia" w:ascii="宋体" w:hAnsi="宋体" w:cs="宋体"/>
                <w:color w:val="000000"/>
                <w:sz w:val="20"/>
                <w:szCs w:val="20"/>
                <w:lang w:val="en-US" w:eastAsia="zh-CN"/>
              </w:rPr>
              <w:t>3</w:t>
            </w:r>
            <w:r>
              <w:rPr>
                <w:rFonts w:hint="eastAsia" w:ascii="宋体" w:hAnsi="宋体" w:cs="宋体"/>
                <w:color w:val="000000"/>
                <w:sz w:val="20"/>
                <w:szCs w:val="20"/>
              </w:rPr>
              <w:t>0</w:t>
            </w:r>
          </w:p>
        </w:tc>
      </w:tr>
      <w:tr w14:paraId="33A29CF6">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1F0BFDE6">
            <w:pPr>
              <w:widowControl/>
              <w:jc w:val="center"/>
              <w:textAlignment w:val="center"/>
              <w:rPr>
                <w:rFonts w:hint="eastAsia" w:ascii="宋体" w:hAnsi="宋体" w:cs="宋体" w:eastAsiaTheme="minorEastAsia"/>
                <w:color w:val="000000"/>
                <w:kern w:val="0"/>
                <w:sz w:val="20"/>
                <w:szCs w:val="20"/>
                <w:lang w:eastAsia="zh-CN" w:bidi="ar"/>
              </w:rPr>
            </w:pPr>
            <w:r>
              <w:rPr>
                <w:rFonts w:hint="eastAsia" w:ascii="宋体" w:hAnsi="宋体" w:cs="宋体"/>
                <w:color w:val="000000"/>
                <w:kern w:val="0"/>
                <w:sz w:val="20"/>
                <w:szCs w:val="20"/>
                <w:lang w:bidi="ar"/>
              </w:rPr>
              <w:t>2</w:t>
            </w:r>
            <w:r>
              <w:rPr>
                <w:rFonts w:hint="eastAsia" w:ascii="宋体" w:hAnsi="宋体" w:cs="宋体"/>
                <w:color w:val="000000"/>
                <w:kern w:val="0"/>
                <w:sz w:val="20"/>
                <w:szCs w:val="20"/>
                <w:lang w:val="en-US" w:eastAsia="zh-CN" w:bidi="ar"/>
              </w:rPr>
              <w:t>2</w:t>
            </w:r>
          </w:p>
        </w:tc>
        <w:tc>
          <w:tcPr>
            <w:tcW w:w="3585" w:type="dxa"/>
            <w:gridSpan w:val="2"/>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70C2357">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上线试运行与推广</w:t>
            </w: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14:paraId="29BC576B">
            <w:pP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11</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shd w:val="clear" w:color="auto" w:fill="auto"/>
            <w:noWrap w:val="0"/>
            <w:tcMar>
              <w:top w:w="15" w:type="dxa"/>
              <w:left w:w="15" w:type="dxa"/>
              <w:right w:w="15" w:type="dxa"/>
            </w:tcMar>
            <w:vAlign w:val="center"/>
          </w:tcPr>
          <w:p w14:paraId="7135D1C2">
            <w:pP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11</w:t>
            </w:r>
            <w:r>
              <w:rPr>
                <w:rFonts w:hint="eastAsia" w:ascii="宋体" w:hAnsi="宋体" w:cs="宋体"/>
                <w:color w:val="000000"/>
                <w:sz w:val="20"/>
                <w:szCs w:val="20"/>
              </w:rPr>
              <w:t>/</w:t>
            </w:r>
            <w:r>
              <w:rPr>
                <w:rFonts w:hint="eastAsia" w:ascii="宋体" w:hAnsi="宋体" w:cs="宋体"/>
                <w:color w:val="000000"/>
                <w:sz w:val="20"/>
                <w:szCs w:val="20"/>
                <w:lang w:val="en-US" w:eastAsia="zh-CN"/>
              </w:rPr>
              <w:t>3</w:t>
            </w:r>
            <w:r>
              <w:rPr>
                <w:rFonts w:hint="eastAsia" w:ascii="宋体" w:hAnsi="宋体" w:cs="宋体"/>
                <w:color w:val="000000"/>
                <w:sz w:val="20"/>
                <w:szCs w:val="20"/>
              </w:rPr>
              <w:t>0</w:t>
            </w:r>
          </w:p>
        </w:tc>
      </w:tr>
      <w:tr w14:paraId="6F073D85">
        <w:tblPrEx>
          <w:tblCellMar>
            <w:top w:w="0" w:type="dxa"/>
            <w:left w:w="0" w:type="dxa"/>
            <w:bottom w:w="0" w:type="dxa"/>
            <w:right w:w="0" w:type="dxa"/>
          </w:tblCellMar>
        </w:tblPrEx>
        <w:trPr>
          <w:trHeight w:val="270" w:hRule="atLeast"/>
        </w:trPr>
        <w:tc>
          <w:tcPr>
            <w:tcW w:w="810" w:type="dxa"/>
            <w:tcBorders>
              <w:top w:val="single" w:color="000000" w:sz="4" w:space="0"/>
              <w:left w:val="single" w:color="000000" w:sz="8" w:space="0"/>
              <w:bottom w:val="single" w:color="000000" w:sz="4" w:space="0"/>
              <w:right w:val="single" w:color="000000" w:sz="4" w:space="0"/>
            </w:tcBorders>
            <w:noWrap w:val="0"/>
            <w:tcMar>
              <w:top w:w="15" w:type="dxa"/>
              <w:left w:w="15" w:type="dxa"/>
              <w:right w:w="15" w:type="dxa"/>
            </w:tcMar>
            <w:vAlign w:val="center"/>
          </w:tcPr>
          <w:p w14:paraId="1C8CD7DF">
            <w:pPr>
              <w:widowControl/>
              <w:jc w:val="center"/>
              <w:textAlignment w:val="center"/>
              <w:rPr>
                <w:rFonts w:hint="default" w:ascii="宋体" w:hAnsi="宋体" w:cs="宋体" w:eastAsiaTheme="minorEastAsia"/>
                <w:color w:val="000000"/>
                <w:kern w:val="0"/>
                <w:sz w:val="20"/>
                <w:szCs w:val="20"/>
                <w:lang w:val="en-US" w:eastAsia="zh-CN" w:bidi="ar"/>
              </w:rPr>
            </w:pPr>
            <w:r>
              <w:rPr>
                <w:rFonts w:hint="eastAsia" w:ascii="宋体" w:hAnsi="宋体" w:cs="宋体"/>
                <w:color w:val="000000"/>
                <w:kern w:val="0"/>
                <w:sz w:val="20"/>
                <w:szCs w:val="20"/>
                <w:lang w:val="en-US" w:eastAsia="zh-CN" w:bidi="ar"/>
              </w:rPr>
              <w:t>23</w:t>
            </w:r>
          </w:p>
        </w:tc>
        <w:tc>
          <w:tcPr>
            <w:tcW w:w="3585" w:type="dxa"/>
            <w:gridSpan w:val="2"/>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3F0A4EB">
            <w:pPr>
              <w:widowControl/>
              <w:jc w:val="center"/>
              <w:textAlignment w:val="center"/>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验收与结项</w:t>
            </w: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14:paraId="65889363">
            <w:pP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12</w:t>
            </w:r>
            <w:r>
              <w:rPr>
                <w:rFonts w:hint="eastAsia" w:ascii="宋体" w:hAnsi="宋体" w:cs="宋体"/>
                <w:color w:val="000000"/>
                <w:sz w:val="20"/>
                <w:szCs w:val="20"/>
              </w:rPr>
              <w:t>/</w:t>
            </w:r>
            <w:r>
              <w:rPr>
                <w:rFonts w:hint="eastAsia" w:ascii="宋体" w:hAnsi="宋体" w:cs="宋体"/>
                <w:color w:val="000000"/>
                <w:sz w:val="20"/>
                <w:szCs w:val="20"/>
                <w:lang w:val="en-US" w:eastAsia="zh-CN"/>
              </w:rPr>
              <w:t>1</w:t>
            </w:r>
          </w:p>
        </w:tc>
        <w:tc>
          <w:tcPr>
            <w:tcW w:w="1620" w:type="dxa"/>
            <w:tcBorders>
              <w:top w:val="single" w:color="000000" w:sz="4" w:space="0"/>
              <w:left w:val="single" w:color="000000" w:sz="4" w:space="0"/>
              <w:bottom w:val="single" w:color="000000" w:sz="4" w:space="0"/>
              <w:right w:val="single" w:color="000000" w:sz="8" w:space="0"/>
            </w:tcBorders>
            <w:shd w:val="clear" w:color="auto" w:fill="auto"/>
            <w:noWrap w:val="0"/>
            <w:tcMar>
              <w:top w:w="15" w:type="dxa"/>
              <w:left w:w="15" w:type="dxa"/>
              <w:right w:w="15" w:type="dxa"/>
            </w:tcMar>
            <w:vAlign w:val="center"/>
          </w:tcPr>
          <w:p w14:paraId="3015AE6C">
            <w:pPr>
              <w:rPr>
                <w:rFonts w:hint="default"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2025</w:t>
            </w:r>
            <w:r>
              <w:rPr>
                <w:rFonts w:hint="eastAsia" w:ascii="宋体" w:hAnsi="宋体" w:cs="宋体"/>
                <w:color w:val="000000"/>
                <w:sz w:val="20"/>
                <w:szCs w:val="20"/>
              </w:rPr>
              <w:t>/</w:t>
            </w:r>
            <w:r>
              <w:rPr>
                <w:rFonts w:hint="eastAsia" w:ascii="宋体" w:hAnsi="宋体" w:cs="宋体"/>
                <w:color w:val="000000"/>
                <w:sz w:val="20"/>
                <w:szCs w:val="20"/>
                <w:lang w:val="en-US" w:eastAsia="zh-CN"/>
              </w:rPr>
              <w:t>12</w:t>
            </w:r>
            <w:r>
              <w:rPr>
                <w:rFonts w:hint="eastAsia" w:ascii="宋体" w:hAnsi="宋体" w:cs="宋体"/>
                <w:color w:val="000000"/>
                <w:sz w:val="20"/>
                <w:szCs w:val="20"/>
              </w:rPr>
              <w:t>/</w:t>
            </w:r>
            <w:r>
              <w:rPr>
                <w:rFonts w:hint="eastAsia" w:ascii="宋体" w:hAnsi="宋体" w:cs="宋体"/>
                <w:color w:val="000000"/>
                <w:sz w:val="20"/>
                <w:szCs w:val="20"/>
                <w:lang w:val="en-US" w:eastAsia="zh-CN"/>
              </w:rPr>
              <w:t>15</w:t>
            </w:r>
          </w:p>
        </w:tc>
      </w:tr>
    </w:tbl>
    <w:p w14:paraId="4708AC04">
      <w:pPr>
        <w:pStyle w:val="14"/>
        <w:keepNext w:val="0"/>
        <w:keepLines w:val="0"/>
        <w:widowControl/>
        <w:suppressLineNumbers w:val="0"/>
        <w:spacing w:before="0" w:beforeAutospacing="0" w:after="0" w:afterAutospacing="0" w:line="240" w:lineRule="auto"/>
        <w:ind w:left="0" w:right="0"/>
        <w:rPr>
          <w:rStyle w:val="17"/>
          <w:rFonts w:hint="eastAsia" w:ascii="宋体" w:hAnsi="宋体" w:eastAsia="宋体" w:cs="宋体"/>
          <w:color w:val="000000" w:themeColor="text1"/>
          <w:sz w:val="28"/>
          <w:szCs w:val="28"/>
          <w14:textFill>
            <w14:solidFill>
              <w14:schemeClr w14:val="tx1"/>
            </w14:solidFill>
          </w14:textFill>
        </w:rPr>
      </w:pPr>
    </w:p>
    <w:p w14:paraId="3FD51C7F">
      <w:pPr>
        <w:pStyle w:val="2"/>
        <w:bidi w:val="0"/>
        <w:rPr>
          <w:rFonts w:hint="eastAsia"/>
        </w:rPr>
      </w:pPr>
      <w:bookmarkStart w:id="26" w:name="_Toc14627"/>
      <w:r>
        <w:rPr>
          <w:rFonts w:hint="eastAsia"/>
          <w:lang w:val="en-US" w:eastAsia="zh-CN"/>
        </w:rPr>
        <w:t>八、研发项目费用预计</w:t>
      </w:r>
      <w:bookmarkEnd w:id="26"/>
    </w:p>
    <w:p w14:paraId="47A9D189">
      <w:pPr>
        <w:pStyle w:val="14"/>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 xml:space="preserve">研发项目预计周期为 </w:t>
      </w:r>
      <w:r>
        <w:rPr>
          <w:rFonts w:hint="eastAsia" w:ascii="宋体" w:hAnsi="宋体" w:eastAsia="宋体" w:cs="宋体"/>
          <w:color w:val="000000" w:themeColor="text1"/>
          <w:sz w:val="28"/>
          <w:szCs w:val="28"/>
          <w:lang w:eastAsia="zh-CN"/>
          <w14:textFill>
            <w14:solidFill>
              <w14:schemeClr w14:val="tx1"/>
            </w14:solidFill>
          </w14:textFill>
        </w:rPr>
        <w:t>2025</w:t>
      </w:r>
      <w:r>
        <w:rPr>
          <w:rFonts w:hint="eastAsia" w:ascii="宋体" w:hAnsi="宋体" w:eastAsia="宋体" w:cs="宋体"/>
          <w:color w:val="000000" w:themeColor="text1"/>
          <w:sz w:val="28"/>
          <w:szCs w:val="28"/>
          <w14:textFill>
            <w14:solidFill>
              <w14:schemeClr w14:val="tx1"/>
            </w14:solidFill>
          </w14:textFill>
        </w:rPr>
        <w:t>年1月至</w:t>
      </w:r>
      <w:r>
        <w:rPr>
          <w:rFonts w:hint="eastAsia" w:ascii="宋体" w:hAnsi="宋体" w:eastAsia="宋体" w:cs="宋体"/>
          <w:color w:val="000000" w:themeColor="text1"/>
          <w:sz w:val="28"/>
          <w:szCs w:val="28"/>
          <w:lang w:eastAsia="zh-CN"/>
          <w14:textFill>
            <w14:solidFill>
              <w14:schemeClr w14:val="tx1"/>
            </w14:solidFill>
          </w14:textFill>
        </w:rPr>
        <w:t>2025</w:t>
      </w:r>
      <w:r>
        <w:rPr>
          <w:rFonts w:hint="eastAsia" w:ascii="宋体" w:hAnsi="宋体" w:eastAsia="宋体" w:cs="宋体"/>
          <w:color w:val="000000" w:themeColor="text1"/>
          <w:sz w:val="28"/>
          <w:szCs w:val="28"/>
          <w14:textFill>
            <w14:solidFill>
              <w14:schemeClr w14:val="tx1"/>
            </w14:solidFill>
          </w14:textFill>
        </w:rPr>
        <w:t>年</w:t>
      </w:r>
      <w:r>
        <w:rPr>
          <w:rFonts w:hint="eastAsia" w:ascii="宋体" w:hAnsi="宋体" w:eastAsia="宋体" w:cs="宋体"/>
          <w:color w:val="000000" w:themeColor="text1"/>
          <w:sz w:val="28"/>
          <w:szCs w:val="28"/>
          <w:lang w:val="en-US" w:eastAsia="zh-CN"/>
          <w14:textFill>
            <w14:solidFill>
              <w14:schemeClr w14:val="tx1"/>
            </w14:solidFill>
          </w14:textFill>
        </w:rPr>
        <w:t>12</w:t>
      </w:r>
      <w:r>
        <w:rPr>
          <w:rFonts w:hint="eastAsia" w:ascii="宋体" w:hAnsi="宋体" w:eastAsia="宋体" w:cs="宋体"/>
          <w:color w:val="000000" w:themeColor="text1"/>
          <w:sz w:val="28"/>
          <w:szCs w:val="28"/>
          <w14:textFill>
            <w14:solidFill>
              <w14:schemeClr w14:val="tx1"/>
            </w14:solidFill>
          </w14:textFill>
        </w:rPr>
        <w:t>月期间，研发费用预计如下表：</w:t>
      </w:r>
    </w:p>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1169"/>
        <w:gridCol w:w="6181"/>
      </w:tblGrid>
      <w:tr w14:paraId="6364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8" w:type="dxa"/>
            <w:gridSpan w:val="3"/>
            <w:tcBorders>
              <w:top w:val="single" w:color="auto" w:sz="4" w:space="0"/>
              <w:left w:val="single" w:color="auto" w:sz="4" w:space="0"/>
              <w:bottom w:val="dashed" w:color="auto" w:sz="4" w:space="0"/>
              <w:right w:val="single" w:color="auto" w:sz="4" w:space="0"/>
            </w:tcBorders>
            <w:noWrap w:val="0"/>
            <w:vAlign w:val="top"/>
          </w:tcPr>
          <w:p w14:paraId="64C85437">
            <w:pPr>
              <w:spacing w:after="156" w:line="400" w:lineRule="exact"/>
              <w:rPr>
                <w:rFonts w:hint="eastAsia" w:ascii="宋体" w:hAnsi="宋体" w:cs="宋体"/>
                <w:i w:val="0"/>
                <w:iCs w:val="0"/>
                <w:sz w:val="23"/>
                <w:szCs w:val="28"/>
              </w:rPr>
            </w:pPr>
            <w:r>
              <w:rPr>
                <w:rFonts w:hint="eastAsia" w:ascii="宋体" w:hAnsi="宋体" w:cs="宋体"/>
                <w:i w:val="0"/>
                <w:iCs w:val="0"/>
                <w:sz w:val="23"/>
                <w:szCs w:val="28"/>
              </w:rPr>
              <w:t>经费概算</w:t>
            </w:r>
          </w:p>
          <w:p w14:paraId="5C142DB2">
            <w:pPr>
              <w:spacing w:after="156" w:line="400" w:lineRule="exact"/>
              <w:ind w:firstLine="480"/>
              <w:rPr>
                <w:rFonts w:hint="eastAsia" w:ascii="宋体" w:hAnsi="宋体" w:cs="宋体"/>
                <w:i w:val="0"/>
                <w:iCs w:val="0"/>
                <w:sz w:val="23"/>
              </w:rPr>
            </w:pPr>
            <w:r>
              <w:rPr>
                <w:rFonts w:hint="eastAsia" w:ascii="宋体" w:hAnsi="宋体" w:cs="宋体"/>
                <w:i w:val="0"/>
                <w:iCs w:val="0"/>
                <w:sz w:val="23"/>
              </w:rPr>
              <w:t xml:space="preserve">总概算： </w:t>
            </w:r>
            <w:r>
              <w:rPr>
                <w:rFonts w:hint="eastAsia" w:ascii="宋体" w:hAnsi="宋体" w:cs="宋体"/>
                <w:i w:val="0"/>
                <w:iCs w:val="0"/>
                <w:sz w:val="23"/>
                <w:u w:val="single"/>
              </w:rPr>
              <w:t xml:space="preserve">   </w:t>
            </w:r>
            <w:r>
              <w:rPr>
                <w:rFonts w:hint="eastAsia" w:ascii="宋体" w:hAnsi="宋体" w:cs="宋体"/>
                <w:i w:val="0"/>
                <w:iCs w:val="0"/>
                <w:sz w:val="23"/>
              </w:rPr>
              <w:t>万元。其中，</w:t>
            </w:r>
            <w:r>
              <w:rPr>
                <w:rFonts w:hint="eastAsia" w:ascii="宋体" w:hAnsi="宋体" w:cs="宋体"/>
                <w:i w:val="0"/>
                <w:iCs w:val="0"/>
                <w:sz w:val="23"/>
                <w:u w:val="single"/>
              </w:rPr>
              <w:t xml:space="preserve"> </w:t>
            </w:r>
            <w:r>
              <w:rPr>
                <w:rFonts w:ascii="宋体" w:hAnsi="宋体" w:cs="宋体"/>
                <w:i w:val="0"/>
                <w:iCs w:val="0"/>
                <w:sz w:val="23"/>
                <w:u w:val="single"/>
              </w:rPr>
              <w:t>202</w:t>
            </w:r>
            <w:r>
              <w:rPr>
                <w:rFonts w:hint="eastAsia" w:ascii="宋体" w:hAnsi="宋体" w:cs="宋体"/>
                <w:i w:val="0"/>
                <w:iCs w:val="0"/>
                <w:sz w:val="23"/>
                <w:u w:val="single"/>
                <w:lang w:val="en-US" w:eastAsia="zh-CN"/>
              </w:rPr>
              <w:t>5</w:t>
            </w:r>
            <w:r>
              <w:rPr>
                <w:rFonts w:hint="eastAsia" w:ascii="宋体" w:hAnsi="宋体" w:cs="宋体"/>
                <w:i w:val="0"/>
                <w:iCs w:val="0"/>
                <w:sz w:val="23"/>
                <w:u w:val="single"/>
              </w:rPr>
              <w:t xml:space="preserve"> </w:t>
            </w:r>
            <w:r>
              <w:rPr>
                <w:rFonts w:hint="eastAsia" w:ascii="宋体" w:hAnsi="宋体" w:cs="宋体"/>
                <w:i w:val="0"/>
                <w:iCs w:val="0"/>
                <w:sz w:val="23"/>
              </w:rPr>
              <w:t>年—</w:t>
            </w:r>
            <w:r>
              <w:rPr>
                <w:rFonts w:hint="eastAsia" w:ascii="宋体" w:hAnsi="宋体" w:cs="宋体"/>
                <w:i w:val="0"/>
                <w:iCs w:val="0"/>
                <w:sz w:val="23"/>
                <w:lang w:val="en-US" w:eastAsia="zh-CN"/>
              </w:rPr>
              <w:t xml:space="preserve"> </w:t>
            </w:r>
            <w:r>
              <w:rPr>
                <w:rFonts w:hint="eastAsia" w:ascii="宋体" w:hAnsi="宋体" w:cs="宋体"/>
                <w:i w:val="0"/>
                <w:iCs w:val="0"/>
                <w:sz w:val="23"/>
                <w:u w:val="single"/>
                <w:lang w:val="en-US" w:eastAsia="zh-CN"/>
              </w:rPr>
              <w:t xml:space="preserve">   </w:t>
            </w:r>
            <w:r>
              <w:rPr>
                <w:rFonts w:hint="eastAsia" w:ascii="宋体" w:hAnsi="宋体" w:cs="宋体"/>
                <w:i w:val="0"/>
                <w:iCs w:val="0"/>
                <w:sz w:val="23"/>
              </w:rPr>
              <w:t>万元。</w:t>
            </w:r>
          </w:p>
          <w:p w14:paraId="0199B773">
            <w:pPr>
              <w:spacing w:after="156" w:line="400" w:lineRule="exact"/>
              <w:ind w:firstLine="480"/>
              <w:rPr>
                <w:rFonts w:hint="eastAsia" w:ascii="宋体" w:hAnsi="宋体" w:cs="宋体"/>
                <w:i w:val="0"/>
                <w:iCs w:val="0"/>
                <w:sz w:val="23"/>
              </w:rPr>
            </w:pPr>
          </w:p>
          <w:p w14:paraId="53DD97E4">
            <w:pPr>
              <w:spacing w:after="156" w:line="400" w:lineRule="exact"/>
              <w:ind w:firstLine="480"/>
              <w:rPr>
                <w:rFonts w:hint="eastAsia" w:ascii="宋体" w:hAnsi="宋体" w:cs="宋体"/>
                <w:i w:val="0"/>
                <w:iCs w:val="0"/>
                <w:sz w:val="23"/>
              </w:rPr>
            </w:pPr>
            <w:r>
              <w:rPr>
                <w:rFonts w:hint="eastAsia" w:ascii="宋体" w:hAnsi="宋体" w:cs="宋体"/>
                <w:i w:val="0"/>
                <w:iCs w:val="0"/>
                <w:sz w:val="23"/>
              </w:rPr>
              <w:t>总成本概算及开支范围：</w:t>
            </w:r>
            <w:r>
              <w:rPr>
                <w:rFonts w:hint="eastAsia" w:ascii="宋体" w:hAnsi="宋体" w:cs="宋体"/>
                <w:i w:val="0"/>
                <w:iCs w:val="0"/>
                <w:sz w:val="23"/>
                <w:szCs w:val="28"/>
              </w:rPr>
              <w:t xml:space="preserve">                         </w:t>
            </w:r>
            <w:r>
              <w:rPr>
                <w:rFonts w:hint="eastAsia" w:ascii="宋体" w:hAnsi="宋体" w:cs="宋体"/>
                <w:i w:val="0"/>
                <w:iCs w:val="0"/>
                <w:sz w:val="23"/>
              </w:rPr>
              <w:t>单位：万元</w:t>
            </w:r>
          </w:p>
        </w:tc>
      </w:tr>
      <w:tr w14:paraId="78BC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nil"/>
              <w:left w:val="single" w:color="auto" w:sz="4" w:space="0"/>
              <w:bottom w:val="dashed" w:color="auto" w:sz="4" w:space="0"/>
              <w:right w:val="dashed" w:color="auto" w:sz="4" w:space="0"/>
            </w:tcBorders>
            <w:noWrap w:val="0"/>
            <w:vAlign w:val="top"/>
          </w:tcPr>
          <w:p w14:paraId="291A727D">
            <w:pPr>
              <w:spacing w:after="156" w:line="400" w:lineRule="exact"/>
              <w:jc w:val="center"/>
              <w:rPr>
                <w:rFonts w:hint="eastAsia" w:ascii="宋体" w:hAnsi="宋体" w:cs="宋体"/>
                <w:i w:val="0"/>
                <w:iCs w:val="0"/>
                <w:sz w:val="23"/>
                <w:szCs w:val="28"/>
              </w:rPr>
            </w:pPr>
            <w:r>
              <w:rPr>
                <w:rFonts w:hint="eastAsia" w:ascii="宋体" w:hAnsi="宋体" w:cs="宋体"/>
                <w:i w:val="0"/>
                <w:iCs w:val="0"/>
                <w:sz w:val="23"/>
              </w:rPr>
              <w:t>开支范围</w:t>
            </w:r>
          </w:p>
        </w:tc>
        <w:tc>
          <w:tcPr>
            <w:tcW w:w="1169" w:type="dxa"/>
            <w:tcBorders>
              <w:top w:val="nil"/>
              <w:left w:val="nil"/>
              <w:bottom w:val="dashed" w:color="auto" w:sz="4" w:space="0"/>
              <w:right w:val="dashed" w:color="auto" w:sz="4" w:space="0"/>
            </w:tcBorders>
            <w:noWrap w:val="0"/>
            <w:vAlign w:val="top"/>
          </w:tcPr>
          <w:p w14:paraId="4F64E440">
            <w:pPr>
              <w:spacing w:after="156" w:line="400" w:lineRule="exact"/>
              <w:jc w:val="center"/>
              <w:rPr>
                <w:rFonts w:hint="eastAsia" w:ascii="宋体" w:hAnsi="宋体" w:cs="宋体"/>
                <w:i w:val="0"/>
                <w:iCs w:val="0"/>
                <w:sz w:val="23"/>
                <w:szCs w:val="28"/>
              </w:rPr>
            </w:pPr>
            <w:r>
              <w:rPr>
                <w:rFonts w:hint="eastAsia" w:ascii="宋体" w:hAnsi="宋体" w:cs="宋体"/>
                <w:i w:val="0"/>
                <w:iCs w:val="0"/>
                <w:sz w:val="23"/>
              </w:rPr>
              <w:t>成本预算</w:t>
            </w:r>
          </w:p>
        </w:tc>
        <w:tc>
          <w:tcPr>
            <w:tcW w:w="6181" w:type="dxa"/>
            <w:tcBorders>
              <w:top w:val="nil"/>
              <w:left w:val="nil"/>
              <w:bottom w:val="dashed" w:color="auto" w:sz="4" w:space="0"/>
              <w:right w:val="single" w:color="auto" w:sz="4" w:space="0"/>
            </w:tcBorders>
            <w:noWrap w:val="0"/>
            <w:vAlign w:val="top"/>
          </w:tcPr>
          <w:p w14:paraId="3B598314">
            <w:pPr>
              <w:spacing w:after="156" w:line="400" w:lineRule="exact"/>
              <w:jc w:val="center"/>
              <w:rPr>
                <w:rFonts w:hint="eastAsia" w:ascii="宋体" w:hAnsi="宋体" w:cs="宋体"/>
                <w:i w:val="0"/>
                <w:iCs w:val="0"/>
                <w:sz w:val="23"/>
                <w:szCs w:val="28"/>
              </w:rPr>
            </w:pPr>
            <w:r>
              <w:rPr>
                <w:rFonts w:hint="eastAsia" w:ascii="宋体" w:hAnsi="宋体" w:cs="宋体"/>
                <w:i w:val="0"/>
                <w:iCs w:val="0"/>
                <w:sz w:val="23"/>
              </w:rPr>
              <w:t>开支细目及额度</w:t>
            </w:r>
          </w:p>
        </w:tc>
      </w:tr>
      <w:tr w14:paraId="6172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4C370118">
            <w:pPr>
              <w:spacing w:after="156" w:line="400" w:lineRule="exact"/>
              <w:jc w:val="center"/>
              <w:rPr>
                <w:rFonts w:hint="eastAsia" w:ascii="宋体" w:hAnsi="宋体" w:cs="宋体"/>
                <w:i w:val="0"/>
                <w:iCs w:val="0"/>
                <w:sz w:val="23"/>
              </w:rPr>
            </w:pPr>
            <w:r>
              <w:rPr>
                <w:rFonts w:hint="eastAsia" w:ascii="宋体" w:hAnsi="宋体" w:cs="宋体"/>
                <w:i w:val="0"/>
                <w:iCs w:val="0"/>
                <w:sz w:val="23"/>
              </w:rPr>
              <w:t>人员费：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56AF07DC">
            <w:pPr>
              <w:spacing w:after="156" w:line="400" w:lineRule="exact"/>
              <w:jc w:val="center"/>
              <w:rPr>
                <w:rFonts w:hint="default" w:ascii="宋体" w:hAnsi="宋体" w:cs="宋体"/>
                <w:i w:val="0"/>
                <w:iCs w:val="0"/>
                <w:sz w:val="23"/>
                <w:lang w:val="en-US" w:eastAsia="zh-CN"/>
              </w:rPr>
            </w:pPr>
            <w:r>
              <w:rPr>
                <w:rFonts w:hint="eastAsia" w:ascii="宋体" w:hAnsi="宋体" w:cs="宋体"/>
                <w:i w:val="0"/>
                <w:iCs w:val="0"/>
                <w:sz w:val="23"/>
                <w:lang w:val="en-US" w:eastAsia="zh-CN"/>
              </w:rPr>
              <w:t>4</w:t>
            </w:r>
            <w:r>
              <w:rPr>
                <w:rFonts w:hint="eastAsia" w:ascii="宋体" w:hAnsi="宋体" w:cs="宋体"/>
                <w:i w:val="0"/>
                <w:iCs w:val="0"/>
                <w:sz w:val="23"/>
              </w:rPr>
              <w:t>20</w:t>
            </w:r>
          </w:p>
        </w:tc>
        <w:tc>
          <w:tcPr>
            <w:tcW w:w="6181" w:type="dxa"/>
            <w:tcBorders>
              <w:top w:val="nil"/>
              <w:left w:val="nil"/>
              <w:bottom w:val="nil"/>
              <w:right w:val="single" w:color="auto" w:sz="4" w:space="0"/>
            </w:tcBorders>
            <w:shd w:val="clear" w:color="auto" w:fill="auto"/>
            <w:noWrap w:val="0"/>
            <w:vAlign w:val="top"/>
          </w:tcPr>
          <w:p w14:paraId="208EE6D9">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项目经理（1人）、架构师（1人）、后端开发（4人）、前端开发（2人）、测试（2人）、产品经理（1人）共</w:t>
            </w:r>
            <w:r>
              <w:rPr>
                <w:rFonts w:hint="eastAsia" w:ascii="宋体" w:hAnsi="宋体" w:cs="宋体"/>
                <w:i w:val="0"/>
                <w:iCs w:val="0"/>
                <w:sz w:val="23"/>
                <w:lang w:val="en-US" w:eastAsia="zh-CN"/>
              </w:rPr>
              <w:t>12</w:t>
            </w:r>
            <w:r>
              <w:rPr>
                <w:rFonts w:hint="eastAsia" w:ascii="宋体" w:hAnsi="宋体" w:cs="宋体"/>
                <w:i w:val="0"/>
                <w:iCs w:val="0"/>
                <w:sz w:val="23"/>
              </w:rPr>
              <w:t>个月薪资及五险一金。</w:t>
            </w:r>
          </w:p>
        </w:tc>
      </w:tr>
      <w:tr w14:paraId="0882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269610E6">
            <w:pPr>
              <w:spacing w:after="156" w:line="400" w:lineRule="exact"/>
              <w:jc w:val="center"/>
              <w:rPr>
                <w:rFonts w:hint="eastAsia" w:ascii="宋体" w:hAnsi="宋体" w:cs="宋体"/>
                <w:i w:val="0"/>
                <w:iCs w:val="0"/>
                <w:sz w:val="23"/>
              </w:rPr>
            </w:pPr>
            <w:r>
              <w:rPr>
                <w:rFonts w:hint="eastAsia" w:ascii="宋体" w:hAnsi="宋体" w:cs="宋体"/>
                <w:i w:val="0"/>
                <w:iCs w:val="0"/>
                <w:sz w:val="23"/>
              </w:rPr>
              <w:t>设计费：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7598AAAA">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15</w:t>
            </w:r>
          </w:p>
        </w:tc>
        <w:tc>
          <w:tcPr>
            <w:tcW w:w="6181" w:type="dxa"/>
            <w:tcBorders>
              <w:top w:val="dashed" w:color="auto" w:sz="4" w:space="0"/>
              <w:left w:val="nil"/>
              <w:bottom w:val="nil"/>
              <w:right w:val="single" w:color="auto" w:sz="4" w:space="0"/>
            </w:tcBorders>
            <w:shd w:val="clear" w:color="auto" w:fill="auto"/>
            <w:noWrap w:val="0"/>
            <w:vAlign w:val="top"/>
          </w:tcPr>
          <w:p w14:paraId="6EA0662F">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UI界面设计、交互体验设计及高保真原型制作费用。</w:t>
            </w:r>
          </w:p>
        </w:tc>
      </w:tr>
      <w:tr w14:paraId="7647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0FCEB51C">
            <w:pPr>
              <w:spacing w:after="156" w:line="400" w:lineRule="exact"/>
              <w:jc w:val="center"/>
              <w:rPr>
                <w:rFonts w:hint="eastAsia" w:ascii="宋体" w:hAnsi="宋体" w:cs="宋体"/>
                <w:i w:val="0"/>
                <w:iCs w:val="0"/>
                <w:sz w:val="23"/>
              </w:rPr>
            </w:pPr>
            <w:r>
              <w:rPr>
                <w:rFonts w:hint="eastAsia" w:ascii="宋体" w:hAnsi="宋体" w:cs="宋体"/>
                <w:i w:val="0"/>
                <w:iCs w:val="0"/>
                <w:sz w:val="23"/>
              </w:rPr>
              <w:t>专项技术研究费：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060E8E7B">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30</w:t>
            </w:r>
          </w:p>
        </w:tc>
        <w:tc>
          <w:tcPr>
            <w:tcW w:w="6181" w:type="dxa"/>
            <w:tcBorders>
              <w:top w:val="dashed" w:color="auto" w:sz="4" w:space="0"/>
              <w:left w:val="nil"/>
              <w:bottom w:val="dashed" w:color="auto" w:sz="4" w:space="0"/>
              <w:right w:val="single" w:color="auto" w:sz="4" w:space="0"/>
            </w:tcBorders>
            <w:shd w:val="clear" w:color="auto" w:fill="auto"/>
            <w:noWrap w:val="0"/>
            <w:vAlign w:val="top"/>
          </w:tcPr>
          <w:p w14:paraId="36C23861">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针对PDF高性能渲染引擎、FTL复杂模板解析算法的专项技术攻关及专家咨询费。</w:t>
            </w:r>
          </w:p>
        </w:tc>
      </w:tr>
      <w:tr w14:paraId="4935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1E5841C0">
            <w:pPr>
              <w:spacing w:after="156" w:line="400" w:lineRule="exact"/>
              <w:jc w:val="center"/>
              <w:rPr>
                <w:rFonts w:hint="eastAsia" w:ascii="宋体" w:hAnsi="宋体" w:cs="宋体"/>
                <w:i w:val="0"/>
                <w:iCs w:val="0"/>
                <w:sz w:val="23"/>
              </w:rPr>
            </w:pPr>
            <w:r>
              <w:rPr>
                <w:rFonts w:hint="eastAsia" w:ascii="宋体" w:hAnsi="宋体" w:cs="宋体"/>
                <w:i w:val="0"/>
                <w:iCs w:val="0"/>
                <w:sz w:val="23"/>
              </w:rPr>
              <w:t>设备费：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5BA67F73">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35</w:t>
            </w:r>
          </w:p>
        </w:tc>
        <w:tc>
          <w:tcPr>
            <w:tcW w:w="6181" w:type="dxa"/>
            <w:tcBorders>
              <w:top w:val="nil"/>
              <w:left w:val="nil"/>
              <w:bottom w:val="dashed" w:color="auto" w:sz="4" w:space="0"/>
              <w:right w:val="single" w:color="auto" w:sz="4" w:space="0"/>
            </w:tcBorders>
            <w:shd w:val="clear" w:color="auto" w:fill="auto"/>
            <w:noWrap w:val="0"/>
            <w:vAlign w:val="top"/>
          </w:tcPr>
          <w:p w14:paraId="76B8686B">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开发测试服务器、高性能文件存储服务器、数据库服务器及相关云资源租赁费用。</w:t>
            </w:r>
          </w:p>
        </w:tc>
      </w:tr>
      <w:tr w14:paraId="4801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5E746B62">
            <w:pPr>
              <w:spacing w:after="156" w:line="400" w:lineRule="exact"/>
              <w:jc w:val="center"/>
              <w:rPr>
                <w:rFonts w:hint="eastAsia" w:ascii="宋体" w:hAnsi="宋体" w:cs="宋体"/>
                <w:i w:val="0"/>
                <w:iCs w:val="0"/>
                <w:sz w:val="23"/>
              </w:rPr>
            </w:pPr>
            <w:r>
              <w:rPr>
                <w:rFonts w:hint="eastAsia" w:ascii="宋体" w:hAnsi="宋体" w:cs="宋体"/>
                <w:i w:val="0"/>
                <w:iCs w:val="0"/>
                <w:sz w:val="23"/>
              </w:rPr>
              <w:t>外包费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75C49DF6">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0</w:t>
            </w:r>
          </w:p>
        </w:tc>
        <w:tc>
          <w:tcPr>
            <w:tcW w:w="6181" w:type="dxa"/>
            <w:tcBorders>
              <w:top w:val="nil"/>
              <w:left w:val="nil"/>
              <w:bottom w:val="dashed" w:color="auto" w:sz="4" w:space="0"/>
              <w:right w:val="single" w:color="auto" w:sz="4" w:space="0"/>
            </w:tcBorders>
            <w:shd w:val="clear" w:color="auto" w:fill="auto"/>
            <w:noWrap w:val="0"/>
            <w:vAlign w:val="top"/>
          </w:tcPr>
          <w:p w14:paraId="73EB271C">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本项目核心功能由内部团队自主研发，不涉及外包。</w:t>
            </w:r>
          </w:p>
        </w:tc>
      </w:tr>
      <w:tr w14:paraId="3AE3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dashed" w:color="auto" w:sz="4" w:space="0"/>
              <w:right w:val="dashed" w:color="auto" w:sz="4" w:space="0"/>
            </w:tcBorders>
            <w:noWrap w:val="0"/>
            <w:vAlign w:val="top"/>
          </w:tcPr>
          <w:p w14:paraId="69D84AF4">
            <w:pPr>
              <w:spacing w:after="156" w:line="400" w:lineRule="exact"/>
              <w:jc w:val="center"/>
              <w:rPr>
                <w:rFonts w:hint="eastAsia" w:ascii="宋体" w:hAnsi="宋体" w:cs="宋体"/>
                <w:i w:val="0"/>
                <w:iCs w:val="0"/>
                <w:sz w:val="23"/>
              </w:rPr>
            </w:pPr>
            <w:r>
              <w:rPr>
                <w:rFonts w:hint="eastAsia" w:ascii="宋体" w:hAnsi="宋体" w:cs="宋体"/>
                <w:i w:val="0"/>
                <w:iCs w:val="0"/>
                <w:sz w:val="23"/>
              </w:rPr>
              <w:t>测试费</w:t>
            </w:r>
          </w:p>
        </w:tc>
        <w:tc>
          <w:tcPr>
            <w:tcW w:w="1169" w:type="dxa"/>
            <w:tcBorders>
              <w:top w:val="dashed" w:color="auto" w:sz="4" w:space="0"/>
              <w:left w:val="nil"/>
              <w:bottom w:val="dashed" w:color="auto" w:sz="4" w:space="0"/>
              <w:right w:val="dashed" w:color="auto" w:sz="4" w:space="0"/>
            </w:tcBorders>
            <w:shd w:val="clear" w:color="auto" w:fill="auto"/>
            <w:noWrap w:val="0"/>
            <w:vAlign w:val="top"/>
          </w:tcPr>
          <w:p w14:paraId="6E8ED744">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10</w:t>
            </w:r>
          </w:p>
        </w:tc>
        <w:tc>
          <w:tcPr>
            <w:tcW w:w="6181" w:type="dxa"/>
            <w:tcBorders>
              <w:top w:val="nil"/>
              <w:left w:val="nil"/>
              <w:bottom w:val="dashed" w:color="auto" w:sz="4" w:space="0"/>
              <w:right w:val="single" w:color="auto" w:sz="4" w:space="0"/>
            </w:tcBorders>
            <w:shd w:val="clear" w:color="auto" w:fill="auto"/>
            <w:noWrap w:val="0"/>
            <w:vAlign w:val="top"/>
          </w:tcPr>
          <w:p w14:paraId="63BB6EBC">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第三方安全渗透测试、性能压力测试工具授权及CA机构联调测试费用。</w:t>
            </w:r>
          </w:p>
        </w:tc>
      </w:tr>
      <w:tr w14:paraId="3C38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8" w:type="dxa"/>
            <w:tcBorders>
              <w:top w:val="dashed" w:color="auto" w:sz="4" w:space="0"/>
              <w:left w:val="single" w:color="auto" w:sz="4" w:space="0"/>
              <w:bottom w:val="single" w:color="auto" w:sz="4" w:space="0"/>
              <w:right w:val="dashed" w:color="auto" w:sz="4" w:space="0"/>
            </w:tcBorders>
            <w:noWrap w:val="0"/>
            <w:vAlign w:val="top"/>
          </w:tcPr>
          <w:p w14:paraId="5DF89DBF">
            <w:pPr>
              <w:spacing w:after="156" w:line="400" w:lineRule="exact"/>
              <w:jc w:val="center"/>
              <w:rPr>
                <w:rFonts w:hint="eastAsia" w:ascii="宋体" w:hAnsi="宋体" w:cs="宋体"/>
                <w:i w:val="0"/>
                <w:iCs w:val="0"/>
                <w:sz w:val="23"/>
              </w:rPr>
            </w:pPr>
            <w:r>
              <w:rPr>
                <w:rFonts w:hint="eastAsia" w:ascii="宋体" w:hAnsi="宋体" w:cs="宋体"/>
                <w:i w:val="0"/>
                <w:iCs w:val="0"/>
                <w:sz w:val="23"/>
              </w:rPr>
              <w:t>管理费：</w:t>
            </w:r>
          </w:p>
        </w:tc>
        <w:tc>
          <w:tcPr>
            <w:tcW w:w="1169" w:type="dxa"/>
            <w:tcBorders>
              <w:top w:val="dashed" w:color="auto" w:sz="4" w:space="0"/>
              <w:left w:val="nil"/>
              <w:bottom w:val="single" w:color="auto" w:sz="4" w:space="0"/>
              <w:right w:val="dashed" w:color="auto" w:sz="4" w:space="0"/>
            </w:tcBorders>
            <w:shd w:val="clear" w:color="auto" w:fill="auto"/>
            <w:noWrap w:val="0"/>
            <w:vAlign w:val="top"/>
          </w:tcPr>
          <w:p w14:paraId="11D55088">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5</w:t>
            </w:r>
          </w:p>
        </w:tc>
        <w:tc>
          <w:tcPr>
            <w:tcW w:w="6181" w:type="dxa"/>
            <w:tcBorders>
              <w:top w:val="nil"/>
              <w:left w:val="nil"/>
              <w:bottom w:val="single" w:color="auto" w:sz="4" w:space="0"/>
              <w:right w:val="single" w:color="auto" w:sz="4" w:space="0"/>
            </w:tcBorders>
            <w:shd w:val="clear" w:color="auto" w:fill="auto"/>
            <w:noWrap w:val="0"/>
            <w:vAlign w:val="top"/>
          </w:tcPr>
          <w:p w14:paraId="4C959789">
            <w:pPr>
              <w:spacing w:after="156" w:line="400" w:lineRule="exact"/>
              <w:jc w:val="center"/>
              <w:rPr>
                <w:rFonts w:hint="eastAsia" w:ascii="宋体" w:hAnsi="宋体" w:cs="宋体"/>
                <w:i w:val="0"/>
                <w:iCs w:val="0"/>
                <w:sz w:val="23"/>
                <w:lang w:val="en-US" w:eastAsia="zh-CN"/>
              </w:rPr>
            </w:pPr>
            <w:r>
              <w:rPr>
                <w:rFonts w:hint="eastAsia" w:ascii="宋体" w:hAnsi="宋体" w:cs="宋体"/>
                <w:i w:val="0"/>
                <w:iCs w:val="0"/>
                <w:sz w:val="23"/>
              </w:rPr>
              <w:t>项目日常办公分摊、会议差旅、文档打印等综合管理支出。</w:t>
            </w:r>
          </w:p>
        </w:tc>
      </w:tr>
    </w:tbl>
    <w:p w14:paraId="42641E1D">
      <w:pPr>
        <w:rPr>
          <w:rFonts w:hint="eastAsia" w:ascii="宋体" w:hAnsi="宋体" w:eastAsia="宋体" w:cs="宋体"/>
          <w:color w:val="000000" w:themeColor="text1"/>
          <w:sz w:val="28"/>
          <w:szCs w:val="28"/>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107C0"/>
    <w:multiLevelType w:val="multilevel"/>
    <w:tmpl w:val="93F10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D03513"/>
    <w:multiLevelType w:val="singleLevel"/>
    <w:tmpl w:val="A8D03513"/>
    <w:lvl w:ilvl="0" w:tentative="0">
      <w:start w:val="1"/>
      <w:numFmt w:val="bullet"/>
      <w:lvlText w:val=""/>
      <w:lvlJc w:val="left"/>
      <w:pPr>
        <w:ind w:left="420" w:hanging="420"/>
      </w:pPr>
      <w:rPr>
        <w:rFonts w:hint="default" w:ascii="Wingdings" w:hAnsi="Wingdings"/>
        <w:sz w:val="10"/>
        <w:szCs w:val="10"/>
      </w:rPr>
    </w:lvl>
  </w:abstractNum>
  <w:abstractNum w:abstractNumId="2">
    <w:nsid w:val="ECF0ACB0"/>
    <w:multiLevelType w:val="singleLevel"/>
    <w:tmpl w:val="ECF0ACB0"/>
    <w:lvl w:ilvl="0" w:tentative="0">
      <w:start w:val="1"/>
      <w:numFmt w:val="bullet"/>
      <w:lvlText w:val=""/>
      <w:lvlJc w:val="left"/>
      <w:pPr>
        <w:ind w:left="420" w:hanging="420"/>
      </w:pPr>
      <w:rPr>
        <w:rFonts w:hint="default" w:ascii="Wingdings" w:hAnsi="Wingdings"/>
        <w:sz w:val="10"/>
        <w:szCs w:val="10"/>
      </w:rPr>
    </w:lvl>
  </w:abstractNum>
  <w:abstractNum w:abstractNumId="3">
    <w:nsid w:val="F33CF9F4"/>
    <w:multiLevelType w:val="multilevel"/>
    <w:tmpl w:val="F33CF9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5A47EAC"/>
    <w:multiLevelType w:val="multilevel"/>
    <w:tmpl w:val="F5A47E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34975B1"/>
    <w:multiLevelType w:val="multilevel"/>
    <w:tmpl w:val="03497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72517F5"/>
    <w:multiLevelType w:val="multilevel"/>
    <w:tmpl w:val="07251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8B2A2C4"/>
    <w:multiLevelType w:val="multilevel"/>
    <w:tmpl w:val="08B2A2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4497F04"/>
    <w:multiLevelType w:val="multilevel"/>
    <w:tmpl w:val="14497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0AD1995"/>
    <w:multiLevelType w:val="multilevel"/>
    <w:tmpl w:val="20AD1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AFFEC3F"/>
    <w:multiLevelType w:val="multilevel"/>
    <w:tmpl w:val="4AFFEC3F"/>
    <w:lvl w:ilvl="0" w:tentative="0">
      <w:start w:val="1"/>
      <w:numFmt w:val="chineseCounting"/>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1">
    <w:nsid w:val="4C8B1E2A"/>
    <w:multiLevelType w:val="multilevel"/>
    <w:tmpl w:val="4C8B1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86F8D9B"/>
    <w:multiLevelType w:val="singleLevel"/>
    <w:tmpl w:val="586F8D9B"/>
    <w:lvl w:ilvl="0" w:tentative="0">
      <w:start w:val="1"/>
      <w:numFmt w:val="bullet"/>
      <w:lvlText w:val=""/>
      <w:lvlJc w:val="left"/>
      <w:pPr>
        <w:ind w:left="420" w:hanging="420"/>
      </w:pPr>
      <w:rPr>
        <w:rFonts w:hint="default" w:ascii="Wingdings" w:hAnsi="Wingdings"/>
        <w:sz w:val="10"/>
        <w:szCs w:val="10"/>
      </w:rPr>
    </w:lvl>
  </w:abstractNum>
  <w:abstractNum w:abstractNumId="13">
    <w:nsid w:val="608E8737"/>
    <w:multiLevelType w:val="multilevel"/>
    <w:tmpl w:val="608E8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C0A5C72"/>
    <w:multiLevelType w:val="multilevel"/>
    <w:tmpl w:val="6C0A5C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5D1C5B"/>
    <w:multiLevelType w:val="multilevel"/>
    <w:tmpl w:val="7F5D1C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2"/>
  </w:num>
  <w:num w:numId="3">
    <w:abstractNumId w:val="15"/>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6"/>
  </w:num>
  <w:num w:numId="8">
    <w:abstractNumId w:val="4"/>
  </w:num>
  <w:num w:numId="9">
    <w:abstractNumId w:val="0"/>
  </w:num>
  <w:num w:numId="10">
    <w:abstractNumId w:val="13"/>
  </w:num>
  <w:num w:numId="11">
    <w:abstractNumId w:val="14"/>
  </w:num>
  <w:num w:numId="12">
    <w:abstractNumId w:val="1"/>
  </w:num>
  <w:num w:numId="13">
    <w:abstractNumId w:val="9"/>
  </w:num>
  <w:num w:numId="14">
    <w:abstractNumId w:val="5"/>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C60874"/>
    <w:rsid w:val="006911F9"/>
    <w:rsid w:val="0091061E"/>
    <w:rsid w:val="012C2953"/>
    <w:rsid w:val="01B34E22"/>
    <w:rsid w:val="04294F27"/>
    <w:rsid w:val="076C72BA"/>
    <w:rsid w:val="07E31891"/>
    <w:rsid w:val="08144141"/>
    <w:rsid w:val="0AE20526"/>
    <w:rsid w:val="0C807FF6"/>
    <w:rsid w:val="1131366D"/>
    <w:rsid w:val="12E0534B"/>
    <w:rsid w:val="14C30A80"/>
    <w:rsid w:val="150D7916"/>
    <w:rsid w:val="17AC6144"/>
    <w:rsid w:val="18784278"/>
    <w:rsid w:val="191E48C9"/>
    <w:rsid w:val="1AFD2812"/>
    <w:rsid w:val="1CB442B4"/>
    <w:rsid w:val="1D7B2840"/>
    <w:rsid w:val="1E262080"/>
    <w:rsid w:val="216B2BCB"/>
    <w:rsid w:val="22394A78"/>
    <w:rsid w:val="24015121"/>
    <w:rsid w:val="24390D5F"/>
    <w:rsid w:val="24894505"/>
    <w:rsid w:val="25207829"/>
    <w:rsid w:val="254E083A"/>
    <w:rsid w:val="295201CD"/>
    <w:rsid w:val="29BD5F8E"/>
    <w:rsid w:val="29DF4157"/>
    <w:rsid w:val="2B724B56"/>
    <w:rsid w:val="2C471B3F"/>
    <w:rsid w:val="2C8E776E"/>
    <w:rsid w:val="2FBC45F2"/>
    <w:rsid w:val="30191A45"/>
    <w:rsid w:val="304C3BC8"/>
    <w:rsid w:val="30A76A5E"/>
    <w:rsid w:val="33B51A84"/>
    <w:rsid w:val="347656B7"/>
    <w:rsid w:val="34FB796B"/>
    <w:rsid w:val="34FC3E0F"/>
    <w:rsid w:val="374240C8"/>
    <w:rsid w:val="381E22EE"/>
    <w:rsid w:val="382D0783"/>
    <w:rsid w:val="38934A8A"/>
    <w:rsid w:val="38D34E86"/>
    <w:rsid w:val="3A0D6176"/>
    <w:rsid w:val="3A3C0164"/>
    <w:rsid w:val="3D7824A0"/>
    <w:rsid w:val="3EC62D97"/>
    <w:rsid w:val="3F03223E"/>
    <w:rsid w:val="3F161F71"/>
    <w:rsid w:val="3F43088C"/>
    <w:rsid w:val="411918A4"/>
    <w:rsid w:val="41750764"/>
    <w:rsid w:val="42F26851"/>
    <w:rsid w:val="43711E3F"/>
    <w:rsid w:val="43A645BE"/>
    <w:rsid w:val="45E5269D"/>
    <w:rsid w:val="464E3D9E"/>
    <w:rsid w:val="46873754"/>
    <w:rsid w:val="49627B61"/>
    <w:rsid w:val="49AD5280"/>
    <w:rsid w:val="4AA91EEB"/>
    <w:rsid w:val="4B2652EA"/>
    <w:rsid w:val="4BC60874"/>
    <w:rsid w:val="4C2D26A8"/>
    <w:rsid w:val="4DCD7C9F"/>
    <w:rsid w:val="4DF53699"/>
    <w:rsid w:val="4F5166AD"/>
    <w:rsid w:val="50B047BD"/>
    <w:rsid w:val="51165E00"/>
    <w:rsid w:val="51850890"/>
    <w:rsid w:val="52081DE7"/>
    <w:rsid w:val="52E77A54"/>
    <w:rsid w:val="534E7AD3"/>
    <w:rsid w:val="54295E4B"/>
    <w:rsid w:val="57E83927"/>
    <w:rsid w:val="5813309A"/>
    <w:rsid w:val="58D40387"/>
    <w:rsid w:val="59AB395C"/>
    <w:rsid w:val="59CD1026"/>
    <w:rsid w:val="5AFF16B3"/>
    <w:rsid w:val="5C3E7FB9"/>
    <w:rsid w:val="5D4635C9"/>
    <w:rsid w:val="5E820631"/>
    <w:rsid w:val="5FF217E7"/>
    <w:rsid w:val="64E36D74"/>
    <w:rsid w:val="652B3EEA"/>
    <w:rsid w:val="656731BF"/>
    <w:rsid w:val="68E00D76"/>
    <w:rsid w:val="68E85E7D"/>
    <w:rsid w:val="6A7A2B04"/>
    <w:rsid w:val="6A7C4ACE"/>
    <w:rsid w:val="6B2F7D93"/>
    <w:rsid w:val="6B9B2D32"/>
    <w:rsid w:val="6C423AF6"/>
    <w:rsid w:val="6CCE0EE6"/>
    <w:rsid w:val="6D7777CF"/>
    <w:rsid w:val="6E922B12"/>
    <w:rsid w:val="6EF2710D"/>
    <w:rsid w:val="6EF70BC7"/>
    <w:rsid w:val="70DF5DB7"/>
    <w:rsid w:val="713B1F9C"/>
    <w:rsid w:val="72802C82"/>
    <w:rsid w:val="749D3FBF"/>
    <w:rsid w:val="76404C02"/>
    <w:rsid w:val="776E1C43"/>
    <w:rsid w:val="779C40BA"/>
    <w:rsid w:val="79475964"/>
    <w:rsid w:val="7AC1704C"/>
    <w:rsid w:val="7AF64429"/>
    <w:rsid w:val="7C6333F8"/>
    <w:rsid w:val="7FCB7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oleObject" Target="file:///C:\Users\zyc\Desktop\&#20449;&#36151;&#20449;&#24687;&#31649;&#29702;&#24179;&#21488;&#39033;&#30446;\&#26381;&#21153;&#37096;&#32626;&#22270;.vsd" TargetMode="Externa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6619</Words>
  <Characters>7978</Characters>
  <Lines>0</Lines>
  <Paragraphs>0</Paragraphs>
  <TotalTime>10</TotalTime>
  <ScaleCrop>false</ScaleCrop>
  <LinksUpToDate>false</LinksUpToDate>
  <CharactersWithSpaces>8241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2025-12-16T09:34:00Z</dcterms:created>
  <dc:creator>燕雀</dc:creator>
  <cp:lastModifiedBy>燕雀</cp:lastModifiedBy>
  <dcterms:modified xsi:type="dcterms:W3CDTF">2025-12-24T06:13:30Z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0FCF32D1510A4F418EEF832BD9559518_13</vt:lpwstr>
  </property>
  <property fmtid="{D5CDD505-2E9C-101B-9397-08002B2CF9AE}" pid="4" name="KSOTemplateDocerSaveRecord">
    <vt:lpwstr>eyJoZGlkIjoiYjBjNjhkYzcwMGVjY2QzMTMyODM3ODQ2MGE3MjVkMWIiLCJ1c2VySWQiOiIyNTk1Mjg1OTUifQ==</vt:lpwstr>
  </property>
</Properties>
</file>