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paul-jialiang-wu-phd"/>
    <w:p>
      <w:pPr>
        <w:pStyle w:val="Heading1"/>
      </w:pPr>
      <w:r>
        <w:t xml:space="preserve">Paul Jialiang Wu, PhD</w:t>
      </w:r>
    </w:p>
    <w:p>
      <w:pPr>
        <w:pStyle w:val="FirstParagraph"/>
      </w:pPr>
      <w:r>
        <w:rPr>
          <w:b/>
          <w:bCs/>
        </w:rPr>
        <w:t xml:space="preserve">Forward Deployed AI Engineer — Enterprise Agentic Systems · Grounded RAG · LLMOps Gates</w:t>
      </w:r>
    </w:p>
    <w:p>
      <w:pPr>
        <w:pStyle w:val="BodyText"/>
      </w:pPr>
      <w:r>
        <w:t xml:space="preserve">wjlgatech@gmail.com · github.com/wjlgatech · linkedin.com/in/paul-jialiang-wu-phd ·</w:t>
      </w:r>
      <w:r>
        <w:t xml:space="preserve"> </w:t>
      </w:r>
      <w:hyperlink r:id="rId9">
        <w:r>
          <w:rPr>
            <w:rStyle w:val="Hyperlink"/>
          </w:rPr>
          <w:t xml:space="preserve">live portfolio</w:t>
        </w:r>
      </w:hyperlink>
    </w:p>
    <w:bookmarkStart w:id="1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I embed with customers and take agentic systems from prototype to production-grade, and I ship the evidence with the system: golden datasets as permanent CI gates, every decision citing the clause it relied on, escalation to a human gated at exactly 1.0, and refusal as a first-class outcome. Then I codify what worked into tooling the next engineer installs in one command.</w:t>
      </w:r>
    </w:p>
    <w:bookmarkEnd w:id="10"/>
    <w:bookmarkStart w:id="11" w:name="Xfdfad86383f77be5d97749b1948571b01d77bd3"/>
    <w:p>
      <w:pPr>
        <w:pStyle w:val="Heading2"/>
      </w:pPr>
      <w:r>
        <w:t xml:space="preserve">WHY CLOUDERA — FORWARD DEPLOYED AI ENGINEER (SENIOR/PRINCIPAL)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Enterprise agentic app taken from brief to gated evidence — HITL, retries, audit trail:</w:t>
      </w:r>
      <w:r>
        <w:t xml:space="preserve"> </w:t>
      </w:r>
      <w:r>
        <w:t xml:space="preserve">Triages purchase requests against six fragmented policy documents — role-based approval limits, vendor risk tiers, PII addenda, a v3→v4 amendment that supersedes prior rules. Durable-execution StateGraph from the primitive up (~170 lines): checkpoint per super-step, human-in-the-loop interrupt/resume, per-node retry, bounded self-correction on ungrounded decisions. 59 labeled cases across 11 tag families incl. prompt injection. decision_accuracy 1.0 · escalation_recall 1.0 (gated at exactly 1.0) · citation_validity 1.0 · trace_completeness 1.0, a permanent CI gate. Its first golden run FAILED (0.889) and exposed an unimplemented policy rule — a golden set that cannot fail you is not measuring anything. Live playground on a real API. (github.com/wjlgatech/FDE-os/tree/main/take-home/enterprise-agentic-triage · enterprise-triage-brief.vercel.app)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Grounded RAG over real filings where refusal is a first-class outcome:</w:t>
      </w:r>
      <w:r>
        <w:t xml:space="preserve"> </w:t>
      </w:r>
      <w:r>
        <w:t xml:space="preserve">Natural-language questions over real SEC filings as PDFs (Tesla 10-K + two 10-Qs, Apple 10-K) — SHA256-pinned, extracted to page-anchored JSON. Verbatim quotes with page anchors, deterministic arithmetic instead of model arithmetic, refusal as an explicit path. 26 hand-verified golden cases, four gates all 1.0: answer_accuracy, refusal_recall (unanswerable questions MUST refuse), refusal_precision, citation_validity (every quote re-verified verbatim). Cross-filing reconciliation: Q1+Q2 = 6M YTD exact on revenue and net income across two independent documents. Shipped behind an edge-middleware access gate; CI fully offline. (github.com/wjlgatech/FDE-os/tree/main/take-home/sec-filing-intelligence)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eval framework that decided production model selection:</w:t>
      </w:r>
      <w:r>
        <w:t xml:space="preserve"> </w:t>
      </w:r>
      <w:r>
        <w:t xml:space="preserve">Primary technical interface on an executive-level enterprise AI deployment (Accenture OpenAI-DSI). Built the multi-model evaluation framework comparing 6+ VLMs (Gemini-class, NVIDIA VSS, Cosmos-Predict2) on accuracy, latency under load, edge-case failure modes and integration cost — the basis for production model selection. Shipped a confidence-calibrated selective-verification pipeline routing only high-uncertainty outputs to human review: ~90% annotation cost reduction. (Accenture, Physical AI Team (2024–present))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Codified the delivery patterns into installable tooling other engineers run:</w:t>
      </w:r>
      <w:r>
        <w:t xml:space="preserve"> </w:t>
      </w:r>
      <w:r>
        <w:t xml:space="preserve">FDE-os turns engagement patterns into reusable product: eleven skills + two composition workflows, exposed as a dependency-free MCP server (eleven callable tools), installable as a one-command Claude Code plugin and running unchanged on Codex and Hermes from one skills tree. Includes an offline RAG/agent eval harness (precision@k, recall@k, MRR, grounding proxy, citation coverage, CI gate), a self-improving eval-loop primitive that reverts regressions, and an enterprise doc parser with a parse-quality NO-GO gate. Live no-login webapp plus a shared-key model proxy, running at ~$0. (github.com/wjlgatech/FDE-os · wjlgatech.github.io/FDE-os)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Multi-agent business-process automation in production for enterprise clients:</w:t>
      </w:r>
      <w:r>
        <w:t xml:space="preserve"> </w:t>
      </w:r>
      <w:r>
        <w:t xml:space="preserve">Event-sourced state management for concurrent-agent consistency, idempotent retry across distributed agents, and a full audit trail — live autonomous workflows with zero-downtime replanning. The core agentic failure mode is that agents over partially observable state must replan without losing context; the event-sourced consistency model solves it and doubles as the tracing/observability surface. (Accenture, WorkflowX / Agenticom (2024–present))</w:t>
      </w:r>
    </w:p>
    <w:bookmarkEnd w:id="11"/>
    <w:bookmarkStart w:id="12" w:name="also-shipped"/>
    <w:p>
      <w:pPr>
        <w:pStyle w:val="Heading2"/>
      </w:pPr>
      <w:r>
        <w:t xml:space="preserve">ALSO SHIPPED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Compiled a data platform’s whole curriculum into a staffing GO/NO-GO</w:t>
      </w:r>
      <w:r>
        <w:t xml:space="preserve"> </w:t>
      </w:r>
      <w:r>
        <w:t xml:space="preserve">— github.com/wjlgatech/FDE-os/tree/main/snowflake-os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Self-improving harness with an independent referee</w:t>
      </w:r>
      <w:r>
        <w:t xml:space="preserve"> </w:t>
      </w:r>
      <w:r>
        <w:t xml:space="preserve">— github.com/wjlgatech/loop-engineering-anything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Spatial AI deployed to Fortune 500 field technicians</w:t>
      </w:r>
      <w:r>
        <w:t xml:space="preserve"> </w:t>
      </w:r>
      <w:r>
        <w:t xml:space="preserve">— Accenture, Physical AI Team</w:t>
      </w:r>
    </w:p>
    <w:bookmarkEnd w:id="12"/>
    <w:bookmarkStart w:id="13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Applied AI Scientist / Forward Deployed Engineer — Accenture, Physical AI Team</w:t>
      </w:r>
      <w:r>
        <w:t xml:space="preserve"> </w:t>
      </w:r>
      <w:r>
        <w:t xml:space="preserve">· Jan 2024–Present</w:t>
      </w:r>
      <w:r>
        <w:t xml:space="preserve"> </w:t>
      </w:r>
      <w:r>
        <w:t xml:space="preserve">- Primary technical interface for an executive-level enterprise AI deployment (OpenAI-DSI engagement); recognized for a</w:t>
      </w:r>
      <w:r>
        <w:t xml:space="preserve"> </w:t>
      </w:r>
      <w:r>
        <w:t xml:space="preserve">“no surprises”</w:t>
      </w:r>
      <w:r>
        <w:t xml:space="preserve"> </w:t>
      </w:r>
      <w:r>
        <w:t xml:space="preserve">standard built on deep model understanding and contextual judgment at decision points.</w:t>
      </w:r>
      <w:r>
        <w:t xml:space="preserve"> </w:t>
      </w:r>
      <w:r>
        <w:t xml:space="preserve">- Built the multi-model evaluation framework comparing 6+ VLMs (Gemini-class, NVIDIA VSS, Cosmos-Predict2) on accuracy, latency under load, edge-case failure modes and integration cost — the basis for production model selection.</w:t>
      </w:r>
      <w:r>
        <w:t xml:space="preserve"> </w:t>
      </w:r>
      <w:r>
        <w:t xml:space="preserve">- Shipped a confidence-calibrated selective-verification pipeline routing only high-uncertainty outputs to human review: ~90% annotation cost reduction.</w:t>
      </w:r>
      <w:r>
        <w:t xml:space="preserve"> </w:t>
      </w:r>
      <w:r>
        <w:t xml:space="preserve">- Technical lead on 4 simultaneous production systems: synthetic data generation, zero-shot safety detection, adaptive evaluation under distribution shift, vision-language reasoning over live sensor streams.</w:t>
      </w:r>
      <w:r>
        <w:t xml:space="preserve"> </w:t>
      </w:r>
      <w:r>
        <w:t xml:space="preserve">- Led technical discovery and white-glove deployment: translated ambiguous customer requirements into shipped agentic workflows, and co-built with customer engineering teams to instill rigorous development practices and drive end-user adoption.</w:t>
      </w:r>
      <w:r>
        <w:t xml:space="preserve"> </w:t>
      </w:r>
      <w:r>
        <w:t xml:space="preserve">- Designed and shipped a multi-agent business-process automation engine for enterprise clients (WorkflowX / Agenticom): event-sourced state for concurrent-agent consistency, idempotent retry across distributed agents, full audit trail, zero-downtime replanning.</w:t>
      </w:r>
    </w:p>
    <w:p>
      <w:pPr>
        <w:pStyle w:val="BodyText"/>
      </w:pPr>
      <w:r>
        <w:rPr>
          <w:b/>
          <w:bCs/>
        </w:rPr>
        <w:t xml:space="preserve">Principal Data Scientist — Genentech</w:t>
      </w:r>
      <w:r>
        <w:t xml:space="preserve"> </w:t>
      </w:r>
      <w:r>
        <w:t xml:space="preserve">· Jun 2021–Dec 2022</w:t>
      </w:r>
      <w:r>
        <w:t xml:space="preserve"> </w:t>
      </w:r>
      <w:r>
        <w:t xml:space="preserve">- Production ML for biomedical research; 3 open-source PyPI packages for multimodal learning; 85% reduction in unproductive process time.</w:t>
      </w:r>
    </w:p>
    <w:p>
      <w:pPr>
        <w:pStyle w:val="BodyText"/>
      </w:pPr>
      <w:r>
        <w:rPr>
          <w:b/>
          <w:bCs/>
        </w:rPr>
        <w:t xml:space="preserve">Principal Data Scientist — Galvanize Inc.</w:t>
      </w:r>
      <w:r>
        <w:t xml:space="preserve"> </w:t>
      </w:r>
      <w:r>
        <w:t xml:space="preserve">· Sep 2019–Jun 2021</w:t>
      </w:r>
      <w:r>
        <w:t xml:space="preserve"> </w:t>
      </w:r>
      <w:r>
        <w:t xml:space="preserve">- Technical lead across 13+ end-to-end ML systems for Fortune 500 clients; 5-star-rated delivery.</w:t>
      </w:r>
    </w:p>
    <w:bookmarkEnd w:id="13"/>
    <w:bookmarkStart w:id="14" w:name="publications"/>
    <w:p>
      <w:pPr>
        <w:pStyle w:val="Heading2"/>
      </w:pPr>
      <w:r>
        <w:t xml:space="preserve">PUBLICATIONS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Self-Calibrating World Models (NeurIPS 2026, under review)</w:t>
      </w:r>
      <w:r>
        <w:t xml:space="preserve"> </w:t>
      </w:r>
      <w:r>
        <w:t xml:space="preserve">— Online Bayesian calibration for sim-to-real transfer; 40% transfer-error reduction vs domain randomization.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Physical AI: The Next Frontier in AI and Robotics</w:t>
      </w:r>
      <w:r>
        <w:t xml:space="preserve"> </w:t>
      </w:r>
      <w:r>
        <w:t xml:space="preserve">— Preprints.org, Apr 2026. DOI: 10.20944/preprints202604.0549.v1.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Failure Benchmarking of NVIDIA’s VSS Tool: Insights from Vision-Language Evaluation</w:t>
      </w:r>
      <w:r>
        <w:t xml:space="preserve"> </w:t>
      </w:r>
      <w:r>
        <w:rPr>
          <w:i/>
          <w:iCs/>
        </w:rPr>
        <w:t xml:space="preserve">(working paper · first author · in preparation)</w:t>
      </w:r>
      <w:r>
        <w:t xml:space="preserve"> </w:t>
      </w:r>
      <w:r>
        <w:t xml:space="preserve">— Wu, P.J., Shah, A., Hosseini, P., Shahab, S. — Center for Advanced AI, Accenture. A five-mode VLM failure taxonomy made executable over deterministic synthetic stimuli, with the Temporal Grounding Score defined as data. Baseline VSS fails 5/5 modes; two frontier models pass 5/5 and the smallest reproduces 3/5, so the failures track capability, not only late-fusion architecture. No venue selected.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Adapting the BARE Framework for Synthetic Data Generation in Vision-Language Models</w:t>
      </w:r>
      <w:r>
        <w:t xml:space="preserve"> </w:t>
      </w:r>
      <w:r>
        <w:rPr>
          <w:i/>
          <w:iCs/>
        </w:rPr>
        <w:t xml:space="preserve">(working paper · first author · in preparation)</w:t>
      </w:r>
      <w:r>
        <w:t xml:space="preserve"> </w:t>
      </w:r>
      <w:r>
        <w:t xml:space="preserve">— Wu, P.J., Shah, A., Hosseini, P., Shahab, S. — Center for Advanced AI, Accenture. Base-model diversity + instruction-tuned correctness as a twin-gated loop. Mode collapse reproduced (0.23 vs 0.62); base-model hallucination did not. Our own first negative was retracted as underpowered (0/18 ⇒ CI [0, 16.7%]) and re-resolved at n=66 and n=72 as a genuine one. No venue selected.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Eval gates as training-signal factories (RewardForge)</w:t>
      </w:r>
      <w:r>
        <w:t xml:space="preserve"> </w:t>
      </w:r>
      <w:r>
        <w:rPr>
          <w:i/>
          <w:iCs/>
        </w:rPr>
        <w:t xml:space="preserve">(working paper · unpublished, not submitted)</w:t>
      </w:r>
      <w:r>
        <w:t xml:space="preserve"> </w:t>
      </w:r>
      <w:r>
        <w:t xml:space="preserve">— Every honest eval gate both certifies quality and labels preference data. 162 pairs from certified gates, zero human labels → DPO from scratch → LoRA → held-out hallucination 0.398→0.287; five seeds against a pre-committed criterion, treatment +0.098±0.028 vs shuffled-label control −0.046±0.055.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Evidence-gated benchmarking of agentic tool use (MCP-Arena)</w:t>
      </w:r>
      <w:r>
        <w:t xml:space="preserve"> </w:t>
      </w:r>
      <w:r>
        <w:rPr>
          <w:i/>
          <w:iCs/>
        </w:rPr>
        <w:t xml:space="preserve">(working paper · unpublished, not submitted)</w:t>
      </w:r>
      <w:r>
        <w:t xml:space="preserve"> </w:t>
      </w:r>
      <w:r>
        <w:t xml:space="preserve">— 12 tasks × 6 failure-mode categories over real MCP servers, asserting the tool-call trace rather than the prose, so a fluent answer with no tool calls scores zero by construction; ships a hallucinating mock that must score 0 in CI.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Predicting a frontier lab’s post-training stack, scored rather than asserted</w:t>
      </w:r>
      <w:r>
        <w:t xml:space="preserve"> </w:t>
      </w:r>
      <w:r>
        <w:rPr>
          <w:i/>
          <w:iCs/>
        </w:rPr>
        <w:t xml:space="preserve">(working paper · 12 predictions registered, Brier UNSCORED)</w:t>
      </w:r>
      <w:r>
        <w:t xml:space="preserve"> </w:t>
      </w:r>
      <w:r>
        <w:t xml:space="preserve">— A ten-stage reconstruction of a frontier lab’s training stack read from its publications, with 12 falsifiable claims registered 2026-08-13 and resolving by 2026-12-31 against the eventual technical report. 0 of 12 resolved, so the Brier score is reported UNSCORED rather than estimated.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zero that wasn’t evidence — power discipline for gates that report negatives</w:t>
      </w:r>
      <w:r>
        <w:t xml:space="preserve"> </w:t>
      </w:r>
      <w:r>
        <w:rPr>
          <w:i/>
          <w:iCs/>
        </w:rPr>
        <w:t xml:space="preserve">(methods note · unpublished, not submitted)</w:t>
      </w:r>
      <w:r>
        <w:t xml:space="preserve"> </w:t>
      </w:r>
      <w:r>
        <w:t xml:space="preserve">— An audit of our own false negative and the rule it produced: wherever a gate reports a negative it must state the n and the smallest effect that n could have resolved — with a runnable tool (Wilson intervals, rule of three, minimum detectable difference), because a rule without one is a slogan.</w:t>
      </w:r>
    </w:p>
    <w:bookmarkEnd w:id="14"/>
    <w:bookmarkStart w:id="15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Agentic Systems:</w:t>
      </w:r>
      <w:r>
        <w:t xml:space="preserve"> </w:t>
      </w:r>
      <w:r>
        <w:t xml:space="preserve">Multi-agent orchestration (ReAct, self-reflection, hierarchical delegation), durable-execution state graphs (checkpoint/resume, HITL interrupt, retry policy, bounded self-correction), event-sourced agent state, MCP servers and clients, LangGraph/CrewAI/ADK-class patterns</w:t>
      </w:r>
    </w:p>
    <w:p>
      <w:pPr>
        <w:pStyle w:val="BodyText"/>
      </w:pPr>
      <w:r>
        <w:rPr>
          <w:b/>
          <w:bCs/>
        </w:rPr>
        <w:t xml:space="preserve">Retrieval, RAG &amp; Data:</w:t>
      </w:r>
      <w:r>
        <w:t xml:space="preserve"> </w:t>
      </w:r>
      <w:r>
        <w:t xml:space="preserve">RAG over structured + unstructured enterprise data, semantic search, embeddings and vector databases, page-anchored citation verification, deterministic arithmetic over retrieved facts, DOCX/XLSX/PDF/web/transcript ingestion with parse-quality gates, provenance-pinned corpora</w:t>
      </w:r>
    </w:p>
    <w:p>
      <w:pPr>
        <w:pStyle w:val="BodyText"/>
      </w:pPr>
      <w:r>
        <w:rPr>
          <w:b/>
          <w:bCs/>
        </w:rPr>
        <w:t xml:space="preserve">LLMOps / MLOps:</w:t>
      </w:r>
      <w:r>
        <w:t xml:space="preserve"> </w:t>
      </w:r>
      <w:r>
        <w:t xml:space="preserve">Independent-referee eval pipelines, golden datasets as permanent CI gates, grounding/hallucination and citation-validity metrics, prompt-injection probes, granular tracing and audit trails, confidence calibration, distribution-shift detection, cost/latency/token budgets, regression rollback, model-provider seams for portable swaps</w:t>
      </w:r>
    </w:p>
    <w:p>
      <w:pPr>
        <w:pStyle w:val="BodyText"/>
      </w:pPr>
      <w:r>
        <w:rPr>
          <w:b/>
          <w:bCs/>
        </w:rPr>
        <w:t xml:space="preserve">Cloud &amp; Infrastructure:</w:t>
      </w:r>
      <w:r>
        <w:t xml:space="preserve"> </w:t>
      </w:r>
      <w:r>
        <w:t xml:space="preserve">GCP (hands-on ML + Gemini evaluation), Azure ML (production), AWS; NVIDIA AI stack (NIM, Cosmos, VSS); Docker, Kubernetes, CI/CD, Vercel edge middleware and RBAC gating, FastAPI, React, SQLite/Postgres</w:t>
      </w:r>
    </w:p>
    <w:p>
      <w:pPr>
        <w:pStyle w:val="BodyText"/>
      </w:pPr>
      <w:r>
        <w:rPr>
          <w:b/>
          <w:bCs/>
        </w:rPr>
        <w:t xml:space="preserve">Forward-Deployed Delivery:</w:t>
      </w:r>
      <w:r>
        <w:t xml:space="preserve"> </w:t>
      </w:r>
      <w:r>
        <w:t xml:space="preserve">Technical discovery, executive stakeholder alignment, white-glove deployment, prototype → production hardening, customer engineering enablement, reference architectures and starter kits, field-pattern → reusable module → product feedback loop</w:t>
      </w:r>
    </w:p>
    <w:bookmarkEnd w:id="15"/>
    <w:bookmarkStart w:id="16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Yale University</w:t>
      </w:r>
      <w:r>
        <w:t xml:space="preserve"> </w:t>
      </w:r>
      <w:r>
        <w:t xml:space="preserve">— National BioMed Fellow, Computational Immunology ·</w:t>
      </w:r>
      <w:r>
        <w:t xml:space="preserve"> </w:t>
      </w:r>
      <w:r>
        <w:rPr>
          <w:b/>
          <w:bCs/>
        </w:rPr>
        <w:t xml:space="preserve">Georgia Tech</w:t>
      </w:r>
      <w:r>
        <w:t xml:space="preserve"> </w:t>
      </w:r>
      <w:r>
        <w:t xml:space="preserve">— PhD, Bioinformatics ·</w:t>
      </w:r>
      <w:r>
        <w:t xml:space="preserve"> </w:t>
      </w:r>
      <w:r>
        <w:rPr>
          <w:b/>
          <w:bCs/>
        </w:rPr>
        <w:t xml:space="preserve">University of South Carolina</w:t>
      </w:r>
      <w:r>
        <w:t xml:space="preserve"> </w:t>
      </w:r>
      <w:r>
        <w:t xml:space="preserve">— MS, Mathematics &amp; CS ·</w:t>
      </w:r>
      <w:r>
        <w:t xml:space="preserve"> </w:t>
      </w:r>
      <w:r>
        <w:rPr>
          <w:b/>
          <w:bCs/>
        </w:rPr>
        <w:t xml:space="preserve">Sun Yat-Sen University</w:t>
      </w:r>
      <w:r>
        <w:t xml:space="preserve"> </w:t>
      </w:r>
      <w:r>
        <w:t xml:space="preserve">— BS, Applied Mathematics</w:t>
      </w:r>
    </w:p>
    <w:bookmarkEnd w:id="16"/>
    <w:bookmarkStart w:id="17" w:name="the-edge-id-be-learning-not-teaching"/>
    <w:p>
      <w:pPr>
        <w:pStyle w:val="Heading2"/>
      </w:pPr>
      <w:r>
        <w:t xml:space="preserve">THE EDGE I’D BE LEARNING, NOT TEACHING</w:t>
      </w:r>
    </w:p>
    <w:p>
      <w:pPr>
        <w:pStyle w:val="FirstParagraph"/>
      </w:pPr>
      <w:r>
        <w:t xml:space="preserve">I have not run the Cloudera platform itself, and my big-data-infrastructure depth is the real edge: I have built RAG and agentic pipelines over enterprise documents and live sensor streams, but I have not owned a Spark/Iceberg/NiFi data platform in production, and my inference work is model selection, cost/latency budgeting and serving seams rather than GPU kernel-level optimization. That is the part of this role I would be ramping on in the first weeks, not teaching.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agentic-portfolio-lovat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gentic-portfolio-lovat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2026-08-21T21:38:19Z</dcterms:created>
  <dcterms:modified xsi:type="dcterms:W3CDTF">2026-08-21T21:38:19Z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