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/>
          <w:b/>
          <w:sz w:val="32"/>
        </w:rPr>
        <w:t>硕士学位论文换题推荐方案</w:t>
      </w:r>
    </w:p>
    <w:p>
      <w:pPr>
        <w:jc w:val="center"/>
      </w:pPr>
      <w:r>
        <w:rPr>
          <w:rFonts w:ascii="楷体" w:hAnsi="楷体"/>
          <w:sz w:val="24"/>
        </w:rPr>
        <w:t>——内部控制方向选题论证（共六个推荐方案）</w:t>
      </w:r>
    </w:p>
    <w:p>
      <w:pPr>
        <w:spacing w:before="240"/>
      </w:pPr>
      <w:r>
        <w:rPr>
          <w:rFonts w:ascii="黑体" w:hAnsi="黑体"/>
          <w:b/>
          <w:sz w:val="28"/>
        </w:rPr>
        <w:t>前言：换题背景</w:t>
      </w:r>
    </w:p>
    <w:p>
      <w:pPr>
        <w:ind w:firstLine="420"/>
      </w:pPr>
      <w:r>
        <w:rPr>
          <w:rFonts w:ascii="宋体" w:hAnsi="宋体"/>
          <w:sz w:val="24"/>
        </w:rPr>
        <w:t>原论文题目《人机协同下H企业费用报销内部控制优化研究》属于"费用报销+智能化+内控"交叉领域。该方向在2023—2025年间被重庆理工大学程平教授团队大量产出（RPA+AI费用报销审计、财务共享模式下的费用报销优化等），创新空间已较为拥挤。同时，"人机协同"这一概念在2024年后逐渐被"RPA""AI大模型""智能财务"等更精确的概念替代，继续沿用可能面临文献检索和理论对话上的困难。</w:t>
      </w:r>
    </w:p>
    <w:p>
      <w:pPr>
        <w:ind w:firstLine="420"/>
      </w:pPr>
      <w:r>
        <w:rPr>
          <w:rFonts w:ascii="宋体" w:hAnsi="宋体"/>
          <w:sz w:val="24"/>
        </w:rPr>
        <w:t>因此，本文围绕"内部控制"这一核心方向，结合2024—2025年政策热点和学术前沿，提出以下六个可选替代选题，按创新性和推荐优先级排序。</w:t>
      </w:r>
    </w:p>
    <w:p>
      <w:pPr>
        <w:spacing w:before="240"/>
      </w:pPr>
      <w:r>
        <w:rPr>
          <w:rFonts w:ascii="黑体" w:hAnsi="黑体"/>
          <w:b/>
          <w:sz w:val="28"/>
        </w:rPr>
        <w:t>方案一（🏆 首推）</w:t>
      </w:r>
    </w:p>
    <w:p>
      <w:pPr>
        <w:ind w:left="850"/>
      </w:pPr>
      <w:r>
        <w:rPr>
          <w:rFonts w:ascii="楷体" w:hAnsi="楷体"/>
          <w:color w:val="505050"/>
          <w:sz w:val="22"/>
        </w:rPr>
        <w:t>《数据资产入表背景下企业数据资产内部控制体系构建研究——以XX公司为例》</w:t>
      </w:r>
    </w:p>
    <w:p>
      <w:pPr>
        <w:spacing w:before="160"/>
      </w:pPr>
      <w:r>
        <w:rPr>
          <w:rFonts w:ascii="黑体" w:hAnsi="黑体"/>
          <w:b/>
          <w:sz w:val="24"/>
        </w:rPr>
        <w:t>【选题理由】</w:t>
      </w:r>
    </w:p>
    <w:p>
      <w:pPr>
        <w:ind w:firstLine="420"/>
      </w:pPr>
      <w:r>
        <w:rPr>
          <w:rFonts w:ascii="宋体" w:hAnsi="宋体"/>
          <w:sz w:val="24"/>
        </w:rPr>
        <w:t>理由一（政策风口）：2023年8月财政部发布《企业数据资源相关会计处理暂行规定》，2024年1月1日正式施行，首次要求企业将数据资源纳入会计报表。财政部后续又发布《关于加强数据资产管理的指导意见》，明确要求"健全数据资产内部控制制度"。政策强制力强，且从施行至今仅一年半，企业的数据资产内控几乎为空白，研究具有强烈的政策回应价值。</w:t>
      </w:r>
    </w:p>
    <w:p>
      <w:pPr>
        <w:ind w:firstLine="420"/>
      </w:pPr>
      <w:r>
        <w:rPr>
          <w:rFonts w:ascii="宋体" w:hAnsi="宋体"/>
          <w:sz w:val="24"/>
        </w:rPr>
        <w:t>理由二（学术蓝海）：截至2025年6月，知网以"数据资产+内部控制"为关键词检索硕士学位论文，结果极少。大部分研究停留在"数据资产会计确认与计量"层面，尚无系统化地从COSO框架角度构建数据资产内控体系的案例研究——本选题可以做到首发优势。</w:t>
      </w:r>
    </w:p>
    <w:p>
      <w:pPr>
        <w:ind w:firstLine="420"/>
      </w:pPr>
      <w:r>
        <w:rPr>
          <w:rFonts w:ascii="宋体" w:hAnsi="宋体"/>
          <w:sz w:val="24"/>
        </w:rPr>
        <w:t>理由三（框架清晰好写）：以COSO五要素为横轴，数据资产"确权→估值→入表→后续计量→处置"全生命周期为纵轴，构建矩阵式分析框架，逻辑链条天然自洽，开题评审时专家容易理解和认可。</w:t>
      </w:r>
    </w:p>
    <w:p>
      <w:pPr>
        <w:ind w:firstLine="420"/>
      </w:pPr>
      <w:r>
        <w:rPr>
          <w:rFonts w:ascii="宋体" w:hAnsi="宋体"/>
          <w:sz w:val="24"/>
        </w:rPr>
        <w:t>理由四（文献充足）：虽然"数据资产+内控"的专门文献少，但"内部控制理论"和"数据资产会计"两块各自都有充足的高质量文献（近五年北大核心/CSSCI合计3000+篇），文献综述基础扎实。</w:t>
      </w:r>
    </w:p>
    <w:p>
      <w:pPr>
        <w:spacing w:before="160"/>
      </w:pPr>
      <w:r>
        <w:rPr>
          <w:rFonts w:ascii="黑体" w:hAnsi="黑体"/>
          <w:b/>
          <w:sz w:val="24"/>
        </w:rPr>
        <w:t>【创新点】</w:t>
      </w:r>
    </w:p>
    <w:p>
      <w:pPr>
        <w:ind w:firstLine="420"/>
      </w:pPr>
      <w:r>
        <w:rPr>
          <w:rFonts w:ascii="宋体" w:hAnsi="宋体"/>
          <w:sz w:val="24"/>
        </w:rPr>
        <w:t>首次将COSO五要素框架系统应用于数据资产场景；构建"数据资产生命周期×COSO五要素"矩阵分析框架；为数据资产入表企业提供可操作的内控建设方案。</w:t>
      </w:r>
    </w:p>
    <w:p>
      <w:pPr>
        <w:jc w:val="center"/>
      </w:pPr>
      <w:r>
        <w:rPr>
          <w:rFonts w:ascii="黑体" w:hAnsi="黑体"/>
          <w:b/>
          <w:sz w:val="32"/>
        </w:rPr>
        <w:t>【适合案例】互联网企业、金融科技公司、电信企业、大数据服务商等已开展数据资产入表的公司。</w:t>
      </w:r>
    </w:p>
    <w:p>
      <w:pPr>
        <w:spacing w:before="240"/>
      </w:pPr>
      <w:r>
        <w:rPr>
          <w:rFonts w:ascii="黑体" w:hAnsi="黑体"/>
          <w:b/>
          <w:sz w:val="28"/>
        </w:rPr>
        <w:t>方案二（🥈 次推）</w:t>
      </w:r>
    </w:p>
    <w:p>
      <w:pPr>
        <w:ind w:left="850"/>
      </w:pPr>
      <w:r>
        <w:rPr>
          <w:rFonts w:ascii="楷体" w:hAnsi="楷体"/>
          <w:color w:val="505050"/>
          <w:sz w:val="22"/>
        </w:rPr>
        <w:t>《生成式AI嵌入企业内部控制体系的应用效果与风险治理研究——以Y公司为例》</w:t>
      </w:r>
    </w:p>
    <w:p>
      <w:pPr>
        <w:spacing w:before="160"/>
      </w:pPr>
      <w:r>
        <w:rPr>
          <w:rFonts w:ascii="黑体" w:hAnsi="黑体"/>
          <w:b/>
          <w:sz w:val="24"/>
        </w:rPr>
        <w:t>【选题理由】</w:t>
      </w:r>
    </w:p>
    <w:p>
      <w:pPr>
        <w:ind w:firstLine="420"/>
      </w:pPr>
      <w:r>
        <w:rPr>
          <w:rFonts w:ascii="宋体" w:hAnsi="宋体"/>
          <w:sz w:val="24"/>
        </w:rPr>
        <w:t>理由一（极度前沿）：ChatGPT引爆的生成式AI浪潮正在渗透企业管理各环节——自动生成财务分析报告、智能审核合同、辅助风险判断等。但AI嵌入内控后，谁来控制AI？AI决策失误的责任如何划分？这是2025年最前沿的治理问题之一，学术产出极少。</w:t>
      </w:r>
    </w:p>
    <w:p>
      <w:pPr>
        <w:ind w:firstLine="420"/>
      </w:pPr>
      <w:r>
        <w:rPr>
          <w:rFonts w:ascii="宋体" w:hAnsi="宋体"/>
          <w:sz w:val="24"/>
        </w:rPr>
        <w:t>理由二（双面性天然形成研究张力）：AI既能成为内部控制的工具（提升效率、减少人为舞弊），又可能成为内部控制的新风险源（算法偏见、幻觉输出、数据泄露）——这种"双面性"让研究本身具有天然的理论对话深度。</w:t>
      </w:r>
    </w:p>
    <w:p>
      <w:pPr>
        <w:ind w:firstLine="420"/>
      </w:pPr>
      <w:r>
        <w:rPr>
          <w:rFonts w:ascii="宋体" w:hAnsi="宋体"/>
          <w:sz w:val="24"/>
        </w:rPr>
        <w:t>理由三（知网硕士论文极少）：目前知网关于"AI大模型+内部控制"的硕士论文几乎空白，选择此题意味着你的论文在未来几年都不缺被引用和关注的机会。</w:t>
      </w:r>
    </w:p>
    <w:p>
      <w:pPr>
        <w:spacing w:before="160"/>
      </w:pPr>
      <w:r>
        <w:rPr>
          <w:rFonts w:ascii="黑体" w:hAnsi="黑体"/>
          <w:b/>
          <w:sz w:val="24"/>
        </w:rPr>
        <w:t>【创新点】</w:t>
      </w:r>
    </w:p>
    <w:p>
      <w:pPr>
        <w:ind w:firstLine="420"/>
      </w:pPr>
      <w:r>
        <w:rPr>
          <w:rFonts w:ascii="宋体" w:hAnsi="宋体"/>
          <w:sz w:val="24"/>
        </w:rPr>
        <w:t>视角创新——将"AI作为内控工具"与"AI作为内控对象"双重角色同时纳入分析框架；构建"AI嵌入内控的双重风险矩阵"理论模型。</w:t>
      </w:r>
    </w:p>
    <w:p>
      <w:pPr>
        <w:jc w:val="center"/>
      </w:pPr>
      <w:r>
        <w:rPr>
          <w:rFonts w:ascii="黑体" w:hAnsi="黑体"/>
          <w:b/>
          <w:sz w:val="32"/>
        </w:rPr>
        <w:t>【风险提示】案例企业须实际部署了AI大模型工具，案例获取门槛较高。建议选择金融科技企业或大型互联网公司。</w:t>
      </w:r>
    </w:p>
    <w:p>
      <w:pPr>
        <w:spacing w:before="240"/>
      </w:pPr>
      <w:r>
        <w:rPr>
          <w:rFonts w:ascii="黑体" w:hAnsi="黑体"/>
          <w:b/>
          <w:sz w:val="28"/>
        </w:rPr>
        <w:t>方案三（稳妥之选）</w:t>
      </w:r>
    </w:p>
    <w:p>
      <w:pPr>
        <w:ind w:left="850"/>
      </w:pPr>
      <w:r>
        <w:rPr>
          <w:rFonts w:ascii="楷体" w:hAnsi="楷体"/>
          <w:color w:val="505050"/>
          <w:sz w:val="22"/>
        </w:rPr>
        <w:t>《供应链韧性视角下制造企业采购业务内部控制优化研究——以M公司为例》</w:t>
      </w:r>
    </w:p>
    <w:p>
      <w:pPr>
        <w:spacing w:before="160"/>
      </w:pPr>
      <w:r>
        <w:rPr>
          <w:rFonts w:ascii="黑体" w:hAnsi="黑体"/>
          <w:b/>
          <w:sz w:val="24"/>
        </w:rPr>
        <w:t>【选题理由】</w:t>
      </w:r>
    </w:p>
    <w:p>
      <w:pPr>
        <w:ind w:firstLine="420"/>
      </w:pPr>
      <w:r>
        <w:rPr>
          <w:rFonts w:ascii="宋体" w:hAnsi="宋体"/>
          <w:sz w:val="24"/>
        </w:rPr>
        <w:t>理由一（政策倡导明确）：二十大报告提出"着力提升产业链供应链韧性和安全水平"。供应链安全已上升为国家战略。将供应链韧性纳入企业内部控制框架，是政策落地的微观抓手，具有很强的政策呼应性。</w:t>
      </w:r>
    </w:p>
    <w:p>
      <w:pPr>
        <w:ind w:firstLine="420"/>
      </w:pPr>
      <w:r>
        <w:rPr>
          <w:rFonts w:ascii="宋体" w:hAnsi="宋体"/>
          <w:sz w:val="24"/>
        </w:rPr>
        <w:t>理由二（场景经典、视角新颖）：采购业务内部控制是经典课题（文献非常充足），但以往研究多聚焦于"防舞弊、降成本"，极少从"供应链中断风险应对、供应多元化、战略储备控制"等韧性视角切入。"经典场景+新视角"是一个低风险高回报的组合。</w:t>
      </w:r>
    </w:p>
    <w:p>
      <w:pPr>
        <w:ind w:firstLine="420"/>
      </w:pPr>
      <w:r>
        <w:rPr>
          <w:rFonts w:ascii="宋体" w:hAnsi="宋体"/>
          <w:sz w:val="24"/>
        </w:rPr>
        <w:t>理由三（案例获取容易）：制造业、零售业、医药行业的企业都面临供应链韧性挑战，案例选择面广，企业配合意愿较高（这是企业自身的痛点问题）。</w:t>
      </w:r>
    </w:p>
    <w:p>
      <w:pPr>
        <w:spacing w:before="160"/>
      </w:pPr>
      <w:r>
        <w:rPr>
          <w:rFonts w:ascii="黑体" w:hAnsi="黑体"/>
          <w:b/>
          <w:sz w:val="24"/>
        </w:rPr>
        <w:t>【创新点】</w:t>
      </w:r>
    </w:p>
    <w:p>
      <w:pPr>
        <w:ind w:firstLine="420"/>
      </w:pPr>
      <w:r>
        <w:rPr>
          <w:rFonts w:ascii="宋体" w:hAnsi="宋体"/>
          <w:sz w:val="24"/>
        </w:rPr>
        <w:t>将"供应链韧性"概念嵌入采购业务内控框架；构建"采购业务内控×供应链韧性风险"双维分析模型。</w:t>
      </w:r>
    </w:p>
    <w:p>
      <w:pPr>
        <w:jc w:val="center"/>
      </w:pPr>
      <w:r>
        <w:rPr>
          <w:rFonts w:ascii="黑体" w:hAnsi="黑体"/>
          <w:b/>
          <w:sz w:val="32"/>
        </w:rPr>
        <w:t>【适合案例】制造业企业（如汽车零部件、电子制造）、医药流通企业、大型零售企业等。</w:t>
      </w:r>
    </w:p>
    <w:p>
      <w:pPr>
        <w:spacing w:before="240"/>
      </w:pPr>
      <w:r>
        <w:rPr>
          <w:rFonts w:ascii="黑体" w:hAnsi="黑体"/>
          <w:b/>
          <w:sz w:val="28"/>
        </w:rPr>
        <w:t>方案四（特色之选）</w:t>
      </w:r>
    </w:p>
    <w:p>
      <w:pPr>
        <w:ind w:left="850"/>
      </w:pPr>
      <w:r>
        <w:rPr>
          <w:rFonts w:ascii="楷体" w:hAnsi="楷体"/>
          <w:color w:val="505050"/>
          <w:sz w:val="22"/>
        </w:rPr>
        <w:t>《"专精特新"中小企业内部控制体系建设研究——以S公司为例》</w:t>
      </w:r>
    </w:p>
    <w:p>
      <w:pPr>
        <w:spacing w:before="160"/>
      </w:pPr>
      <w:r>
        <w:rPr>
          <w:rFonts w:ascii="黑体" w:hAnsi="黑体"/>
          <w:b/>
          <w:sz w:val="24"/>
        </w:rPr>
        <w:t>【选题理由】</w:t>
      </w:r>
    </w:p>
    <w:p>
      <w:pPr>
        <w:ind w:firstLine="420"/>
      </w:pPr>
      <w:r>
        <w:rPr>
          <w:rFonts w:ascii="宋体" w:hAnsi="宋体"/>
          <w:sz w:val="24"/>
        </w:rPr>
        <w:t>理由一（国家战略支持）："专精特新"是工信部重点扶持的企业类型，截至2025年已认定超10万家。这类企业大多处于快速成长期，内控普遍薄弱，但又面临IPO合规、科创板上市等刚性内控要求——实践需求极为迫切。</w:t>
      </w:r>
    </w:p>
    <w:p>
      <w:pPr>
        <w:ind w:firstLine="420"/>
      </w:pPr>
      <w:r>
        <w:rPr>
          <w:rFonts w:ascii="宋体" w:hAnsi="宋体"/>
          <w:sz w:val="24"/>
        </w:rPr>
        <w:t>理由二（研究差异化明显）：知网上内控研究的案例对象绝大多数是大型企业或行政事业单位，"专精特新"中小企业内控研究极少。选题自带差异性。</w:t>
      </w:r>
    </w:p>
    <w:p>
      <w:pPr>
        <w:ind w:firstLine="420"/>
      </w:pPr>
      <w:r>
        <w:rPr>
          <w:rFonts w:ascii="宋体" w:hAnsi="宋体"/>
          <w:sz w:val="24"/>
        </w:rPr>
        <w:t>理由三（可结合IPO合规视角）：专精特新企业很多冲刺北交所/科创板IPO，可以将"IPO注册制下的内控合规要求"作为研究的制度背景，增加研究的现实关切。</w:t>
      </w:r>
    </w:p>
    <w:p>
      <w:pPr>
        <w:spacing w:before="160"/>
      </w:pPr>
      <w:r>
        <w:rPr>
          <w:rFonts w:ascii="黑体" w:hAnsi="黑体"/>
          <w:b/>
          <w:sz w:val="24"/>
        </w:rPr>
        <w:t>【创新点】</w:t>
      </w:r>
    </w:p>
    <w:p>
      <w:pPr>
        <w:ind w:firstLine="420"/>
      </w:pPr>
      <w:r>
        <w:rPr>
          <w:rFonts w:ascii="宋体" w:hAnsi="宋体"/>
          <w:sz w:val="24"/>
        </w:rPr>
        <w:t>首次聚焦"专精特新"这一特殊企业群体的内控特征（轻资产、高研发、快速成长、治理不成熟）；构建适配中小企业发展阶段的内控"阶梯式建设"路径。</w:t>
      </w:r>
    </w:p>
    <w:p>
      <w:pPr>
        <w:jc w:val="center"/>
      </w:pPr>
      <w:r>
        <w:rPr>
          <w:rFonts w:ascii="黑体" w:hAnsi="黑体"/>
          <w:b/>
          <w:sz w:val="32"/>
        </w:rPr>
        <w:t>【适合案例】北交所上市/拟上市专精特新企业、国家级"小巨人"企业、科创板拟上市科技型中小企业。</w:t>
      </w:r>
    </w:p>
    <w:p>
      <w:pPr>
        <w:spacing w:before="240"/>
      </w:pPr>
      <w:r>
        <w:rPr>
          <w:rFonts w:ascii="黑体" w:hAnsi="黑体"/>
          <w:b/>
          <w:sz w:val="28"/>
        </w:rPr>
        <w:t>方案五（保底之选——原题微调）</w:t>
      </w:r>
    </w:p>
    <w:p>
      <w:pPr>
        <w:ind w:left="850"/>
      </w:pPr>
      <w:r>
        <w:rPr>
          <w:rFonts w:ascii="楷体" w:hAnsi="楷体"/>
          <w:color w:val="505050"/>
          <w:sz w:val="22"/>
        </w:rPr>
        <w:t>《基于机器学习的H企业费用报销信用评价与内部控制优化研究》</w:t>
      </w:r>
    </w:p>
    <w:p>
      <w:pPr>
        <w:spacing w:before="160"/>
      </w:pPr>
      <w:r>
        <w:rPr>
          <w:rFonts w:ascii="黑体" w:hAnsi="黑体"/>
          <w:b/>
          <w:sz w:val="24"/>
        </w:rPr>
        <w:t>【选题理由】</w:t>
      </w:r>
    </w:p>
    <w:p>
      <w:pPr>
        <w:ind w:firstLine="420"/>
      </w:pPr>
      <w:r>
        <w:rPr>
          <w:rFonts w:ascii="宋体" w:hAnsi="宋体"/>
          <w:sz w:val="24"/>
        </w:rPr>
        <w:t>理由一（原方向最大化复用）：如果你不想大改研究方向，这个题目保留了"费用报销+内控+案例研究"的核心架构，仅替换技术视角（从"人机协同"换为"机器学习信用评价"），改动量最小。</w:t>
      </w:r>
    </w:p>
    <w:p>
      <w:pPr>
        <w:ind w:firstLine="420"/>
      </w:pPr>
      <w:r>
        <w:rPr>
          <w:rFonts w:ascii="宋体" w:hAnsi="宋体"/>
          <w:sz w:val="24"/>
        </w:rPr>
        <w:t>理由二（方法有差异化）：引入CART决策树/XGBoost等机器学习算法构建费用报销信用评分模型，将"事后审核"变为"事前风险预警"，这比原选题的"人机协同"更有方法论新颖性。</w:t>
      </w:r>
    </w:p>
    <w:p>
      <w:pPr>
        <w:ind w:firstLine="420"/>
      </w:pPr>
      <w:r>
        <w:rPr>
          <w:rFonts w:ascii="宋体" w:hAnsi="宋体"/>
          <w:sz w:val="24"/>
        </w:rPr>
        <w:t>理由三（文献和方法成熟）：重庆理工大学《基于风险导向的H研究院费用报销管理优化研究》（雷小川）已提供了完整的"CART决策树+费用报销风险识别"技术路线，可以直接参考。</w:t>
      </w:r>
    </w:p>
    <w:p>
      <w:pPr>
        <w:spacing w:before="160"/>
      </w:pPr>
      <w:r>
        <w:rPr>
          <w:rFonts w:ascii="黑体" w:hAnsi="黑体"/>
          <w:b/>
          <w:sz w:val="24"/>
        </w:rPr>
        <w:t>【创新点】</w:t>
      </w:r>
    </w:p>
    <w:p>
      <w:pPr>
        <w:ind w:firstLine="420"/>
      </w:pPr>
      <w:r>
        <w:rPr>
          <w:rFonts w:ascii="宋体" w:hAnsi="宋体"/>
          <w:sz w:val="24"/>
        </w:rPr>
        <w:t>将机器学习算法嵌入费用报销内控流程，构建"信用评价→风险分级→差异化管理"的智能化控制闭环。</w:t>
      </w:r>
    </w:p>
    <w:p>
      <w:pPr>
        <w:jc w:val="center"/>
      </w:pPr>
      <w:r>
        <w:rPr>
          <w:rFonts w:ascii="黑体" w:hAnsi="黑体"/>
          <w:b/>
          <w:sz w:val="32"/>
        </w:rPr>
        <w:t>【风险提示】创新性低于方案一和方案二，需在开题时重点论证与已有研究的差异化。适合作为保底方案。</w:t>
      </w:r>
    </w:p>
    <w:p>
      <w:pPr>
        <w:spacing w:before="240"/>
      </w:pPr>
      <w:r>
        <w:rPr>
          <w:rFonts w:ascii="黑体" w:hAnsi="黑体"/>
          <w:b/>
          <w:sz w:val="28"/>
        </w:rPr>
        <w:t>方案六（微调之选——视角转换）</w:t>
      </w:r>
    </w:p>
    <w:p>
      <w:pPr>
        <w:ind w:left="850"/>
      </w:pPr>
      <w:r>
        <w:rPr>
          <w:rFonts w:ascii="楷体" w:hAnsi="楷体"/>
          <w:color w:val="505050"/>
          <w:sz w:val="22"/>
        </w:rPr>
        <w:t>《穿透式监管背景下企业费用报销合规管理与内部控制优化研究——以H公司为例》</w:t>
      </w:r>
    </w:p>
    <w:p>
      <w:pPr>
        <w:spacing w:before="160"/>
      </w:pPr>
      <w:r>
        <w:rPr>
          <w:rFonts w:ascii="黑体" w:hAnsi="黑体"/>
          <w:b/>
          <w:sz w:val="24"/>
        </w:rPr>
        <w:t>【选题理由】</w:t>
      </w:r>
    </w:p>
    <w:p>
      <w:pPr>
        <w:ind w:firstLine="420"/>
      </w:pPr>
      <w:r>
        <w:rPr>
          <w:rFonts w:ascii="宋体" w:hAnsi="宋体"/>
          <w:sz w:val="24"/>
        </w:rPr>
        <w:t>理由一（政策新概念）：2025年国资委在央企负责人会议上强调"穿透式监管"，要求"监管触角延伸到最基层子企业"。费用报销恰恰是最容易出问题的"末梢环节"。"穿透式监管+费用报销内控"是一个天然的政策—实践连接点。</w:t>
      </w:r>
    </w:p>
    <w:p>
      <w:pPr>
        <w:ind w:firstLine="420"/>
      </w:pPr>
      <w:r>
        <w:rPr>
          <w:rFonts w:ascii="宋体" w:hAnsi="宋体"/>
          <w:sz w:val="24"/>
        </w:rPr>
        <w:t>理由二（保留了H企业案例的积累）：如果你已经对H企业（合思汇智/易快报）做了前期调研，这个题目可以最大化复用已有资料。只是把理论视角从"人机协同"换为"穿透式监管合规"。</w:t>
      </w:r>
    </w:p>
    <w:p>
      <w:pPr>
        <w:ind w:firstLine="420"/>
      </w:pPr>
      <w:r>
        <w:rPr>
          <w:rFonts w:ascii="宋体" w:hAnsi="宋体"/>
          <w:sz w:val="24"/>
        </w:rPr>
        <w:t>理由三（视角较新）：知网上"穿透式监管"文献多集中在金融监管和反垄断领域，将之应用于企业费用报销内部控制的研究极少。</w:t>
      </w:r>
    </w:p>
    <w:p>
      <w:pPr>
        <w:spacing w:before="160"/>
      </w:pPr>
      <w:r>
        <w:rPr>
          <w:rFonts w:ascii="黑体" w:hAnsi="黑体"/>
          <w:b/>
          <w:sz w:val="24"/>
        </w:rPr>
        <w:t>【创新点】</w:t>
      </w:r>
    </w:p>
    <w:p>
      <w:pPr>
        <w:ind w:firstLine="420"/>
      </w:pPr>
      <w:r>
        <w:rPr>
          <w:rFonts w:ascii="宋体" w:hAnsi="宋体"/>
          <w:sz w:val="24"/>
        </w:rPr>
        <w:t>将"穿透式监管"从宏观监管理论引入微观企业内控实践；构建"穿透式监管要求→费用报销内控响应"的分析框架。</w:t>
      </w:r>
    </w:p>
    <w:p>
      <w:pPr>
        <w:jc w:val="center"/>
      </w:pPr>
      <w:r>
        <w:rPr>
          <w:rFonts w:ascii="黑体" w:hAnsi="黑体"/>
          <w:b/>
          <w:sz w:val="32"/>
        </w:rPr>
        <w:t>【风险提示】创新性中等，建议在开题时重点强调"穿透式监管"这一政策概念的新颖性以及将其引入企业微观内控的理论贡献。</w:t>
      </w:r>
    </w:p>
    <w:p>
      <w:pPr>
        <w:spacing w:before="240"/>
      </w:pPr>
      <w:r>
        <w:rPr>
          <w:rFonts w:ascii="黑体" w:hAnsi="黑体"/>
          <w:b/>
          <w:sz w:val="28"/>
        </w:rPr>
        <w:t>综合对比总览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35"/>
        <w:gridCol w:w="1235"/>
        <w:gridCol w:w="1235"/>
        <w:gridCol w:w="1235"/>
        <w:gridCol w:w="1235"/>
        <w:gridCol w:w="1235"/>
        <w:gridCol w:w="1235"/>
      </w:tblGrid>
      <w:tr>
        <w:tc>
          <w:tcPr>
            <w:tcW w:type="dxa" w:w="1235"/>
          </w:tcPr>
          <w:p>
            <w:pPr>
              <w:jc w:val="center"/>
            </w:pPr>
            <w:r/>
            <w:r>
              <w:rPr>
                <w:rFonts w:ascii="黑体" w:hAnsi="黑体"/>
                <w:b/>
                <w:sz w:val="18"/>
              </w:rPr>
              <w:t>方案</w:t>
            </w:r>
          </w:p>
        </w:tc>
        <w:tc>
          <w:tcPr>
            <w:tcW w:type="dxa" w:w="1235"/>
          </w:tcPr>
          <w:p>
            <w:pPr>
              <w:jc w:val="center"/>
            </w:pPr>
            <w:r/>
            <w:r>
              <w:rPr>
                <w:rFonts w:ascii="黑体" w:hAnsi="黑体"/>
                <w:b/>
                <w:sz w:val="18"/>
              </w:rPr>
              <w:t>题目简述</w:t>
            </w:r>
          </w:p>
        </w:tc>
        <w:tc>
          <w:tcPr>
            <w:tcW w:type="dxa" w:w="1235"/>
          </w:tcPr>
          <w:p>
            <w:pPr>
              <w:jc w:val="center"/>
            </w:pPr>
            <w:r/>
            <w:r>
              <w:rPr>
                <w:rFonts w:ascii="黑体" w:hAnsi="黑体"/>
                <w:b/>
                <w:sz w:val="18"/>
              </w:rPr>
              <w:t>创新性</w:t>
            </w:r>
          </w:p>
        </w:tc>
        <w:tc>
          <w:tcPr>
            <w:tcW w:type="dxa" w:w="1235"/>
          </w:tcPr>
          <w:p>
            <w:pPr>
              <w:jc w:val="center"/>
            </w:pPr>
            <w:r/>
            <w:r>
              <w:rPr>
                <w:rFonts w:ascii="黑体" w:hAnsi="黑体"/>
                <w:b/>
                <w:sz w:val="18"/>
              </w:rPr>
              <w:t>文献基础</w:t>
            </w:r>
          </w:p>
        </w:tc>
        <w:tc>
          <w:tcPr>
            <w:tcW w:type="dxa" w:w="1235"/>
          </w:tcPr>
          <w:p>
            <w:pPr>
              <w:jc w:val="center"/>
            </w:pPr>
            <w:r/>
            <w:r>
              <w:rPr>
                <w:rFonts w:ascii="黑体" w:hAnsi="黑体"/>
                <w:b/>
                <w:sz w:val="18"/>
              </w:rPr>
              <w:t>案例获取</w:t>
            </w:r>
          </w:p>
        </w:tc>
        <w:tc>
          <w:tcPr>
            <w:tcW w:type="dxa" w:w="1235"/>
          </w:tcPr>
          <w:p>
            <w:pPr>
              <w:jc w:val="center"/>
            </w:pPr>
            <w:r/>
            <w:r>
              <w:rPr>
                <w:rFonts w:ascii="黑体" w:hAnsi="黑体"/>
                <w:b/>
                <w:sz w:val="18"/>
              </w:rPr>
              <w:t>开题风险</w:t>
            </w:r>
          </w:p>
        </w:tc>
        <w:tc>
          <w:tcPr>
            <w:tcW w:type="dxa" w:w="1235"/>
          </w:tcPr>
          <w:p>
            <w:pPr>
              <w:jc w:val="center"/>
            </w:pPr>
            <w:r/>
            <w:r>
              <w:rPr>
                <w:rFonts w:ascii="黑体" w:hAnsi="黑体"/>
                <w:b/>
                <w:sz w:val="18"/>
              </w:rPr>
              <w:t>推荐等级</w:t>
            </w:r>
          </w:p>
        </w:tc>
      </w:tr>
      <w:tr>
        <w:tc>
          <w:tcPr>
            <w:tcW w:type="dxa" w:w="1235"/>
          </w:tcPr>
          <w:p>
            <w:r/>
            <w:r>
              <w:rPr>
                <w:rFonts w:ascii="宋体" w:hAnsi="宋体"/>
                <w:sz w:val="18"/>
              </w:rPr>
              <w:t>方案一</w:t>
            </w:r>
          </w:p>
        </w:tc>
        <w:tc>
          <w:tcPr>
            <w:tcW w:type="dxa" w:w="1235"/>
          </w:tcPr>
          <w:p>
            <w:r/>
            <w:r>
              <w:rPr>
                <w:rFonts w:ascii="宋体" w:hAnsi="宋体"/>
                <w:sz w:val="18"/>
              </w:rPr>
              <w:t>数据资产入表</w:t>
              <w:br/>
              <w:t>+内控</w:t>
            </w:r>
          </w:p>
        </w:tc>
        <w:tc>
          <w:tcPr>
            <w:tcW w:type="dxa" w:w="1235"/>
          </w:tcPr>
          <w:p>
            <w:r/>
            <w:r>
              <w:rPr>
                <w:rFonts w:ascii="宋体" w:hAnsi="宋体"/>
                <w:sz w:val="18"/>
              </w:rPr>
              <w:t>★★★★★</w:t>
            </w:r>
          </w:p>
        </w:tc>
        <w:tc>
          <w:tcPr>
            <w:tcW w:type="dxa" w:w="1235"/>
          </w:tcPr>
          <w:p>
            <w:r/>
            <w:r>
              <w:rPr>
                <w:rFonts w:ascii="宋体" w:hAnsi="宋体"/>
                <w:sz w:val="18"/>
              </w:rPr>
              <w:t>★★★★☆</w:t>
            </w:r>
          </w:p>
        </w:tc>
        <w:tc>
          <w:tcPr>
            <w:tcW w:type="dxa" w:w="1235"/>
          </w:tcPr>
          <w:p>
            <w:r/>
            <w:r>
              <w:rPr>
                <w:rFonts w:ascii="宋体" w:hAnsi="宋体"/>
                <w:sz w:val="18"/>
              </w:rPr>
              <w:t>★★★★☆</w:t>
            </w:r>
          </w:p>
        </w:tc>
        <w:tc>
          <w:tcPr>
            <w:tcW w:type="dxa" w:w="1235"/>
          </w:tcPr>
          <w:p>
            <w:r/>
            <w:r>
              <w:rPr>
                <w:rFonts w:ascii="宋体" w:hAnsi="宋体"/>
                <w:sz w:val="18"/>
              </w:rPr>
              <w:t>低</w:t>
            </w:r>
          </w:p>
        </w:tc>
        <w:tc>
          <w:tcPr>
            <w:tcW w:type="dxa" w:w="1235"/>
          </w:tcPr>
          <w:p>
            <w:r/>
            <w:r>
              <w:rPr>
                <w:rFonts w:ascii="宋体" w:hAnsi="宋体"/>
                <w:sz w:val="18"/>
              </w:rPr>
              <w:t>🏆 首推</w:t>
            </w:r>
          </w:p>
        </w:tc>
      </w:tr>
      <w:tr>
        <w:tc>
          <w:tcPr>
            <w:tcW w:type="dxa" w:w="1235"/>
          </w:tcPr>
          <w:p>
            <w:r/>
            <w:r>
              <w:rPr>
                <w:rFonts w:ascii="宋体" w:hAnsi="宋体"/>
                <w:sz w:val="18"/>
              </w:rPr>
              <w:t>方案二</w:t>
            </w:r>
          </w:p>
        </w:tc>
        <w:tc>
          <w:tcPr>
            <w:tcW w:type="dxa" w:w="1235"/>
          </w:tcPr>
          <w:p>
            <w:r/>
            <w:r>
              <w:rPr>
                <w:rFonts w:ascii="宋体" w:hAnsi="宋体"/>
                <w:sz w:val="18"/>
              </w:rPr>
              <w:t>AI大模型</w:t>
              <w:br/>
              <w:t>+内控</w:t>
            </w:r>
          </w:p>
        </w:tc>
        <w:tc>
          <w:tcPr>
            <w:tcW w:type="dxa" w:w="1235"/>
          </w:tcPr>
          <w:p>
            <w:r/>
            <w:r>
              <w:rPr>
                <w:rFonts w:ascii="宋体" w:hAnsi="宋体"/>
                <w:sz w:val="18"/>
              </w:rPr>
              <w:t>★★★★★</w:t>
            </w:r>
          </w:p>
        </w:tc>
        <w:tc>
          <w:tcPr>
            <w:tcW w:type="dxa" w:w="1235"/>
          </w:tcPr>
          <w:p>
            <w:r/>
            <w:r>
              <w:rPr>
                <w:rFonts w:ascii="宋体" w:hAnsi="宋体"/>
                <w:sz w:val="18"/>
              </w:rPr>
              <w:t>★★★☆☆</w:t>
            </w:r>
          </w:p>
        </w:tc>
        <w:tc>
          <w:tcPr>
            <w:tcW w:type="dxa" w:w="1235"/>
          </w:tcPr>
          <w:p>
            <w:r/>
            <w:r>
              <w:rPr>
                <w:rFonts w:ascii="宋体" w:hAnsi="宋体"/>
                <w:sz w:val="18"/>
              </w:rPr>
              <w:t>★★★☆☆</w:t>
            </w:r>
          </w:p>
        </w:tc>
        <w:tc>
          <w:tcPr>
            <w:tcW w:type="dxa" w:w="1235"/>
          </w:tcPr>
          <w:p>
            <w:r/>
            <w:r>
              <w:rPr>
                <w:rFonts w:ascii="宋体" w:hAnsi="宋体"/>
                <w:sz w:val="18"/>
              </w:rPr>
              <w:t>中</w:t>
            </w:r>
          </w:p>
        </w:tc>
        <w:tc>
          <w:tcPr>
            <w:tcW w:type="dxa" w:w="1235"/>
          </w:tcPr>
          <w:p>
            <w:r/>
            <w:r>
              <w:rPr>
                <w:rFonts w:ascii="宋体" w:hAnsi="宋体"/>
                <w:sz w:val="18"/>
              </w:rPr>
              <w:t>🥈 次推</w:t>
            </w:r>
          </w:p>
        </w:tc>
      </w:tr>
      <w:tr>
        <w:tc>
          <w:tcPr>
            <w:tcW w:type="dxa" w:w="1235"/>
          </w:tcPr>
          <w:p>
            <w:r/>
            <w:r>
              <w:rPr>
                <w:rFonts w:ascii="宋体" w:hAnsi="宋体"/>
                <w:sz w:val="18"/>
              </w:rPr>
              <w:t>方案三</w:t>
            </w:r>
          </w:p>
        </w:tc>
        <w:tc>
          <w:tcPr>
            <w:tcW w:type="dxa" w:w="1235"/>
          </w:tcPr>
          <w:p>
            <w:r/>
            <w:r>
              <w:rPr>
                <w:rFonts w:ascii="宋体" w:hAnsi="宋体"/>
                <w:sz w:val="18"/>
              </w:rPr>
              <w:t>供应链韧性</w:t>
              <w:br/>
              <w:t>+采购内控</w:t>
            </w:r>
          </w:p>
        </w:tc>
        <w:tc>
          <w:tcPr>
            <w:tcW w:type="dxa" w:w="1235"/>
          </w:tcPr>
          <w:p>
            <w:r/>
            <w:r>
              <w:rPr>
                <w:rFonts w:ascii="宋体" w:hAnsi="宋体"/>
                <w:sz w:val="18"/>
              </w:rPr>
              <w:t>★★★★☆</w:t>
            </w:r>
          </w:p>
        </w:tc>
        <w:tc>
          <w:tcPr>
            <w:tcW w:type="dxa" w:w="1235"/>
          </w:tcPr>
          <w:p>
            <w:r/>
            <w:r>
              <w:rPr>
                <w:rFonts w:ascii="宋体" w:hAnsi="宋体"/>
                <w:sz w:val="18"/>
              </w:rPr>
              <w:t>★★★★☆</w:t>
            </w:r>
          </w:p>
        </w:tc>
        <w:tc>
          <w:tcPr>
            <w:tcW w:type="dxa" w:w="1235"/>
          </w:tcPr>
          <w:p>
            <w:r/>
            <w:r>
              <w:rPr>
                <w:rFonts w:ascii="宋体" w:hAnsi="宋体"/>
                <w:sz w:val="18"/>
              </w:rPr>
              <w:t>★★★★★</w:t>
            </w:r>
          </w:p>
        </w:tc>
        <w:tc>
          <w:tcPr>
            <w:tcW w:type="dxa" w:w="1235"/>
          </w:tcPr>
          <w:p>
            <w:r/>
            <w:r>
              <w:rPr>
                <w:rFonts w:ascii="宋体" w:hAnsi="宋体"/>
                <w:sz w:val="18"/>
              </w:rPr>
              <w:t>低</w:t>
            </w:r>
          </w:p>
        </w:tc>
        <w:tc>
          <w:tcPr>
            <w:tcW w:type="dxa" w:w="1235"/>
          </w:tcPr>
          <w:p>
            <w:r/>
            <w:r>
              <w:rPr>
                <w:rFonts w:ascii="宋体" w:hAnsi="宋体"/>
                <w:sz w:val="18"/>
              </w:rPr>
              <w:t>稳妥</w:t>
            </w:r>
          </w:p>
        </w:tc>
      </w:tr>
      <w:tr>
        <w:tc>
          <w:tcPr>
            <w:tcW w:type="dxa" w:w="1235"/>
          </w:tcPr>
          <w:p>
            <w:r/>
            <w:r>
              <w:rPr>
                <w:rFonts w:ascii="宋体" w:hAnsi="宋体"/>
                <w:sz w:val="18"/>
              </w:rPr>
              <w:t>方案四</w:t>
            </w:r>
          </w:p>
        </w:tc>
        <w:tc>
          <w:tcPr>
            <w:tcW w:type="dxa" w:w="1235"/>
          </w:tcPr>
          <w:p>
            <w:r/>
            <w:r>
              <w:rPr>
                <w:rFonts w:ascii="宋体" w:hAnsi="宋体"/>
                <w:sz w:val="18"/>
              </w:rPr>
              <w:t>专精特新</w:t>
              <w:br/>
              <w:t>+内控</w:t>
            </w:r>
          </w:p>
        </w:tc>
        <w:tc>
          <w:tcPr>
            <w:tcW w:type="dxa" w:w="1235"/>
          </w:tcPr>
          <w:p>
            <w:r/>
            <w:r>
              <w:rPr>
                <w:rFonts w:ascii="宋体" w:hAnsi="宋体"/>
                <w:sz w:val="18"/>
              </w:rPr>
              <w:t>★★★★☆</w:t>
            </w:r>
          </w:p>
        </w:tc>
        <w:tc>
          <w:tcPr>
            <w:tcW w:type="dxa" w:w="1235"/>
          </w:tcPr>
          <w:p>
            <w:r/>
            <w:r>
              <w:rPr>
                <w:rFonts w:ascii="宋体" w:hAnsi="宋体"/>
                <w:sz w:val="18"/>
              </w:rPr>
              <w:t>★★★☆☆</w:t>
            </w:r>
          </w:p>
        </w:tc>
        <w:tc>
          <w:tcPr>
            <w:tcW w:type="dxa" w:w="1235"/>
          </w:tcPr>
          <w:p>
            <w:r/>
            <w:r>
              <w:rPr>
                <w:rFonts w:ascii="宋体" w:hAnsi="宋体"/>
                <w:sz w:val="18"/>
              </w:rPr>
              <w:t>★★★★☆</w:t>
            </w:r>
          </w:p>
        </w:tc>
        <w:tc>
          <w:tcPr>
            <w:tcW w:type="dxa" w:w="1235"/>
          </w:tcPr>
          <w:p>
            <w:r/>
            <w:r>
              <w:rPr>
                <w:rFonts w:ascii="宋体" w:hAnsi="宋体"/>
                <w:sz w:val="18"/>
              </w:rPr>
              <w:t>中低</w:t>
            </w:r>
          </w:p>
        </w:tc>
        <w:tc>
          <w:tcPr>
            <w:tcW w:type="dxa" w:w="1235"/>
          </w:tcPr>
          <w:p>
            <w:r/>
            <w:r>
              <w:rPr>
                <w:rFonts w:ascii="宋体" w:hAnsi="宋体"/>
                <w:sz w:val="18"/>
              </w:rPr>
              <w:t>特色</w:t>
            </w:r>
          </w:p>
        </w:tc>
      </w:tr>
      <w:tr>
        <w:tc>
          <w:tcPr>
            <w:tcW w:type="dxa" w:w="1235"/>
          </w:tcPr>
          <w:p>
            <w:r/>
            <w:r>
              <w:rPr>
                <w:rFonts w:ascii="宋体" w:hAnsi="宋体"/>
                <w:sz w:val="18"/>
              </w:rPr>
              <w:t>方案五</w:t>
            </w:r>
          </w:p>
        </w:tc>
        <w:tc>
          <w:tcPr>
            <w:tcW w:type="dxa" w:w="1235"/>
          </w:tcPr>
          <w:p>
            <w:r/>
            <w:r>
              <w:rPr>
                <w:rFonts w:ascii="宋体" w:hAnsi="宋体"/>
                <w:sz w:val="18"/>
              </w:rPr>
              <w:t>机器学习</w:t>
              <w:br/>
              <w:t>+费用报销内控</w:t>
            </w:r>
          </w:p>
        </w:tc>
        <w:tc>
          <w:tcPr>
            <w:tcW w:type="dxa" w:w="1235"/>
          </w:tcPr>
          <w:p>
            <w:r/>
            <w:r>
              <w:rPr>
                <w:rFonts w:ascii="宋体" w:hAnsi="宋体"/>
                <w:sz w:val="18"/>
              </w:rPr>
              <w:t>★★★☆☆</w:t>
            </w:r>
          </w:p>
        </w:tc>
        <w:tc>
          <w:tcPr>
            <w:tcW w:type="dxa" w:w="1235"/>
          </w:tcPr>
          <w:p>
            <w:r/>
            <w:r>
              <w:rPr>
                <w:rFonts w:ascii="宋体" w:hAnsi="宋体"/>
                <w:sz w:val="18"/>
              </w:rPr>
              <w:t>★★★★★</w:t>
            </w:r>
          </w:p>
        </w:tc>
        <w:tc>
          <w:tcPr>
            <w:tcW w:type="dxa" w:w="1235"/>
          </w:tcPr>
          <w:p>
            <w:r/>
            <w:r>
              <w:rPr>
                <w:rFonts w:ascii="宋体" w:hAnsi="宋体"/>
                <w:sz w:val="18"/>
              </w:rPr>
              <w:t>★★★★★</w:t>
            </w:r>
          </w:p>
        </w:tc>
        <w:tc>
          <w:tcPr>
            <w:tcW w:type="dxa" w:w="1235"/>
          </w:tcPr>
          <w:p>
            <w:r/>
            <w:r>
              <w:rPr>
                <w:rFonts w:ascii="宋体" w:hAnsi="宋体"/>
                <w:sz w:val="18"/>
              </w:rPr>
              <w:t>低</w:t>
            </w:r>
          </w:p>
        </w:tc>
        <w:tc>
          <w:tcPr>
            <w:tcW w:type="dxa" w:w="1235"/>
          </w:tcPr>
          <w:p>
            <w:r/>
            <w:r>
              <w:rPr>
                <w:rFonts w:ascii="宋体" w:hAnsi="宋体"/>
                <w:sz w:val="18"/>
              </w:rPr>
              <w:t>保底</w:t>
            </w:r>
          </w:p>
        </w:tc>
      </w:tr>
      <w:tr>
        <w:tc>
          <w:tcPr>
            <w:tcW w:type="dxa" w:w="1235"/>
          </w:tcPr>
          <w:p>
            <w:r/>
            <w:r>
              <w:rPr>
                <w:rFonts w:ascii="宋体" w:hAnsi="宋体"/>
                <w:sz w:val="18"/>
              </w:rPr>
              <w:t>方案六</w:t>
            </w:r>
          </w:p>
        </w:tc>
        <w:tc>
          <w:tcPr>
            <w:tcW w:type="dxa" w:w="1235"/>
          </w:tcPr>
          <w:p>
            <w:r/>
            <w:r>
              <w:rPr>
                <w:rFonts w:ascii="宋体" w:hAnsi="宋体"/>
                <w:sz w:val="18"/>
              </w:rPr>
              <w:t>穿透式监管</w:t>
              <w:br/>
              <w:t>+费用报销内控</w:t>
            </w:r>
          </w:p>
        </w:tc>
        <w:tc>
          <w:tcPr>
            <w:tcW w:type="dxa" w:w="1235"/>
          </w:tcPr>
          <w:p>
            <w:r/>
            <w:r>
              <w:rPr>
                <w:rFonts w:ascii="宋体" w:hAnsi="宋体"/>
                <w:sz w:val="18"/>
              </w:rPr>
              <w:t>★★★☆☆</w:t>
            </w:r>
          </w:p>
        </w:tc>
        <w:tc>
          <w:tcPr>
            <w:tcW w:type="dxa" w:w="1235"/>
          </w:tcPr>
          <w:p>
            <w:r/>
            <w:r>
              <w:rPr>
                <w:rFonts w:ascii="宋体" w:hAnsi="宋体"/>
                <w:sz w:val="18"/>
              </w:rPr>
              <w:t>★★★★☆</w:t>
            </w:r>
          </w:p>
        </w:tc>
        <w:tc>
          <w:tcPr>
            <w:tcW w:type="dxa" w:w="1235"/>
          </w:tcPr>
          <w:p>
            <w:r/>
            <w:r>
              <w:rPr>
                <w:rFonts w:ascii="宋体" w:hAnsi="宋体"/>
                <w:sz w:val="18"/>
              </w:rPr>
              <w:t>★★★★★</w:t>
            </w:r>
          </w:p>
        </w:tc>
        <w:tc>
          <w:tcPr>
            <w:tcW w:type="dxa" w:w="1235"/>
          </w:tcPr>
          <w:p>
            <w:r/>
            <w:r>
              <w:rPr>
                <w:rFonts w:ascii="宋体" w:hAnsi="宋体"/>
                <w:sz w:val="18"/>
              </w:rPr>
              <w:t>低</w:t>
            </w:r>
          </w:p>
        </w:tc>
        <w:tc>
          <w:tcPr>
            <w:tcW w:type="dxa" w:w="1235"/>
          </w:tcPr>
          <w:p>
            <w:r/>
            <w:r>
              <w:rPr>
                <w:rFonts w:ascii="宋体" w:hAnsi="宋体"/>
                <w:sz w:val="18"/>
              </w:rPr>
              <w:t>微调</w:t>
            </w:r>
          </w:p>
        </w:tc>
      </w:tr>
    </w:tbl>
    <w:p/>
    <w:p>
      <w:pPr>
        <w:spacing w:before="240"/>
      </w:pPr>
      <w:r>
        <w:rPr>
          <w:rFonts w:ascii="黑体" w:hAnsi="黑体"/>
          <w:b/>
          <w:sz w:val="28"/>
        </w:rPr>
        <w:t>最终建议</w:t>
      </w:r>
    </w:p>
    <w:p>
      <w:pPr>
        <w:ind w:firstLine="420"/>
      </w:pPr>
      <w:r>
        <w:rPr>
          <w:rFonts w:ascii="宋体" w:hAnsi="宋体"/>
          <w:sz w:val="24"/>
        </w:rPr>
        <w:t>综合政策响应价值、学术创新空间、研究可行性和开题通过率，强烈推荐方案一《数据资产入表背景下企业数据资产内部控制体系构建研究》。该选题在当前的学术市场上具有明显的先发优势，同时理论框架清晰、文献基础充足、政策支撑有力。如果方案一的案例企业获取有困难，可以方案三（供应链韧性+采购内控）作为第一备选，方案五（机器学习+费用报销内控）作为保底方案。</w:t>
      </w:r>
    </w:p>
    <w:p/>
    <w:p>
      <w:pPr>
        <w:jc w:val="right"/>
      </w:pPr>
      <w:r>
        <w:rPr>
          <w:rFonts w:ascii="宋体" w:hAnsi="宋体"/>
          <w:sz w:val="24"/>
        </w:rPr>
        <w:t>报告完成日期：2026年06月17日</w:t>
      </w:r>
    </w:p>
    <w:sectPr w:rsidR="00FC693F" w:rsidRPr="0006063C" w:rsidSect="00034616"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宋体" w:hAnsi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