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rFonts w:ascii="黑体" w:hAnsi="黑体"/>
          <w:b/>
          <w:sz w:val="32"/>
        </w:rPr>
        <w:t>关于硕士学位论文选题《数据资产入表背景下企业数据资产内部控制体系构建研究》的选题论证报告</w:t>
      </w:r>
    </w:p>
    <w:p>
      <w:pPr>
        <w:spacing w:before="240" w:after="120"/>
      </w:pPr>
      <w:r>
        <w:rPr>
          <w:rFonts w:ascii="黑体" w:hAnsi="黑体"/>
          <w:b/>
          <w:sz w:val="28"/>
        </w:rPr>
        <w:t>一、原选题回顾与换题动因</w:t>
      </w:r>
    </w:p>
    <w:p>
      <w:pPr>
        <w:spacing w:before="120" w:after="60"/>
      </w:pPr>
      <w:r>
        <w:rPr>
          <w:rFonts w:ascii="黑体" w:hAnsi="黑体"/>
          <w:b/>
          <w:sz w:val="24"/>
        </w:rPr>
        <w:t>1.1 原选题信息</w:t>
      </w:r>
    </w:p>
    <w:p>
      <w:pPr>
        <w:ind w:firstLine="420"/>
      </w:pPr>
      <w:r>
        <w:rPr>
          <w:rFonts w:ascii="宋体" w:hAnsi="宋体"/>
          <w:sz w:val="24"/>
        </w:rPr>
        <w:t>原论文题目：《人机协同下H企业费用报销内部控制优化研究》（案例研究，对象为北京合思汇智信息技术有限公司）。</w:t>
      </w:r>
    </w:p>
    <w:p>
      <w:pPr>
        <w:ind w:firstLine="420"/>
      </w:pPr>
      <w:r>
        <w:rPr>
          <w:rFonts w:ascii="宋体" w:hAnsi="宋体"/>
          <w:sz w:val="24"/>
        </w:rPr>
        <w:t>该选题属于"费用报销+智能化+内部控制"交叉领域，采用半结构化访谈法与文献研究法，以COSO内部控制框架为理论基础。</w:t>
      </w:r>
    </w:p>
    <w:p>
      <w:pPr>
        <w:spacing w:before="120" w:after="60"/>
      </w:pPr>
      <w:r>
        <w:rPr>
          <w:rFonts w:ascii="黑体" w:hAnsi="黑体"/>
          <w:b/>
          <w:sz w:val="24"/>
        </w:rPr>
        <w:t>1.2 换题动因</w:t>
      </w:r>
    </w:p>
    <w:p>
      <w:pPr>
        <w:ind w:firstLine="420"/>
      </w:pPr>
      <w:r>
        <w:rPr>
          <w:rFonts w:ascii="宋体" w:hAnsi="宋体"/>
          <w:sz w:val="24"/>
        </w:rPr>
        <w:t>（1）研究空间的拥挤性。2023—2025年间，重庆理工大学程平教授团队在该方向已发表多篇硕士论文（如《基于RPA+AI的T区中医院费用报销智能审计研究》《基于风险导向的H研究院费用报销管理优化研究》），"RPA+费用报销+内控"这一范式已较为成熟，进一步创新的空间有限。</w:t>
      </w:r>
    </w:p>
    <w:p>
      <w:pPr>
        <w:ind w:firstLine="420"/>
      </w:pPr>
      <w:r>
        <w:rPr>
          <w:rFonts w:ascii="宋体" w:hAnsi="宋体"/>
          <w:sz w:val="24"/>
        </w:rPr>
        <w:t>（2）研究对象的局限性。"人机协同"的提法在2024年以后逐渐被更具体的"RPA""AI大模型""智能财务"等概念所替代，继续使用"人机协同"作为核心概念，在文献检索和理论对话上会面临概念过时的问题。</w:t>
      </w:r>
    </w:p>
    <w:p>
      <w:pPr>
        <w:ind w:firstLine="420"/>
      </w:pPr>
      <w:r>
        <w:rPr>
          <w:rFonts w:ascii="宋体" w:hAnsi="宋体"/>
          <w:sz w:val="24"/>
        </w:rPr>
        <w:t>（3）政策窗口期机遇。2023年8月财政部发布《企业数据资源相关会计处理暂行规定》（2024年1月1日施行），数据资产入表成为2024—2025年会计与审计领域的重大政策热点，围绕数据资产的内部控制研究几乎处于空白状态，存在显著的学术机会窗口。</w:t>
      </w:r>
    </w:p>
    <w:p>
      <w:pPr>
        <w:spacing w:before="240" w:after="120"/>
      </w:pPr>
      <w:r>
        <w:rPr>
          <w:rFonts w:ascii="黑体" w:hAnsi="黑体"/>
          <w:b/>
          <w:sz w:val="28"/>
        </w:rPr>
        <w:t>二、拟换选题的提出</w:t>
      </w:r>
    </w:p>
    <w:p>
      <w:pPr>
        <w:spacing w:before="120" w:after="60"/>
      </w:pPr>
      <w:r>
        <w:rPr>
          <w:rFonts w:ascii="黑体" w:hAnsi="黑体"/>
          <w:b/>
          <w:sz w:val="24"/>
        </w:rPr>
        <w:t>2.1 拟定题目</w:t>
      </w:r>
    </w:p>
    <w:p>
      <w:r>
        <w:rPr>
          <w:rFonts w:ascii="宋体" w:hAnsi="宋体"/>
          <w:sz w:val="24"/>
        </w:rPr>
        <w:t>《数据资产入表背景下企业数据资产内部控制体系构建研究——以XX公司为例》</w:t>
      </w:r>
    </w:p>
    <w:p>
      <w:pPr>
        <w:spacing w:before="120" w:after="60"/>
      </w:pPr>
      <w:r>
        <w:rPr>
          <w:rFonts w:ascii="黑体" w:hAnsi="黑体"/>
          <w:b/>
          <w:sz w:val="24"/>
        </w:rPr>
        <w:t>2.2 选题所属领域</w:t>
      </w:r>
    </w:p>
    <w:p>
      <w:pPr>
        <w:ind w:firstLine="420"/>
      </w:pPr>
      <w:r>
        <w:rPr>
          <w:rFonts w:ascii="宋体" w:hAnsi="宋体"/>
          <w:sz w:val="24"/>
        </w:rPr>
        <w:t>审计学 / 内部控制 / 数据资产治理。该选题属于"内部控制+数据资产"交叉领域，是内部控制在数字经济时代的新应用场景。</w:t>
      </w:r>
    </w:p>
    <w:p>
      <w:pPr>
        <w:spacing w:before="120" w:after="60"/>
      </w:pPr>
      <w:r>
        <w:rPr>
          <w:rFonts w:ascii="黑体" w:hAnsi="黑体"/>
          <w:b/>
          <w:sz w:val="24"/>
        </w:rPr>
        <w:t>2.3 核心研究问题</w:t>
      </w:r>
    </w:p>
    <w:p>
      <w:pPr>
        <w:ind w:firstLine="420"/>
      </w:pPr>
      <w:r>
        <w:rPr>
          <w:rFonts w:ascii="宋体" w:hAnsi="宋体"/>
          <w:sz w:val="24"/>
        </w:rPr>
        <w:t>（1）数据资产从确权、估值、入表到后续计量、处置的全生命周期中存在哪些特殊风险？</w:t>
      </w:r>
    </w:p>
    <w:p>
      <w:pPr>
        <w:ind w:firstLine="420"/>
      </w:pPr>
      <w:r>
        <w:rPr>
          <w:rFonts w:ascii="宋体" w:hAnsi="宋体"/>
          <w:sz w:val="24"/>
        </w:rPr>
        <w:t>（2）如何运用COSO内部控制框架（五要素）针对数据资产的特殊性构建系统化的内部控制体系？</w:t>
      </w:r>
    </w:p>
    <w:p>
      <w:pPr>
        <w:ind w:firstLine="420"/>
      </w:pPr>
      <w:r>
        <w:rPr>
          <w:rFonts w:ascii="宋体" w:hAnsi="宋体"/>
          <w:sz w:val="24"/>
        </w:rPr>
        <w:t>（3）案例企业在数据资产内部控制方面的现状、缺陷及优化路径是什么？</w:t>
      </w:r>
    </w:p>
    <w:p>
      <w:pPr>
        <w:spacing w:before="240" w:after="120"/>
      </w:pPr>
      <w:r>
        <w:rPr>
          <w:rFonts w:ascii="黑体" w:hAnsi="黑体"/>
          <w:b/>
          <w:sz w:val="28"/>
        </w:rPr>
        <w:t>三、政策背景论证——为什么是"数据资产+内控"</w:t>
      </w:r>
    </w:p>
    <w:p>
      <w:pPr>
        <w:spacing w:before="120" w:after="60"/>
      </w:pPr>
      <w:r>
        <w:rPr>
          <w:rFonts w:ascii="黑体" w:hAnsi="黑体"/>
          <w:b/>
          <w:sz w:val="24"/>
        </w:rPr>
        <w:t>3.1 核心政策文件</w:t>
      </w:r>
    </w:p>
    <w:p>
      <w:pPr>
        <w:ind w:firstLine="420"/>
      </w:pPr>
      <w:r>
        <w:rPr>
          <w:rFonts w:ascii="宋体" w:hAnsi="宋体"/>
          <w:sz w:val="24"/>
        </w:rPr>
        <w:t>（1）2023年8月21日，财政部发布《企业数据资源相关会计处理暂行规定》（财会〔2023〕11号），自2024年1月1日起施行。该规定首次明确了数据资源在会计报表中的确认、计量和披露规则，标志着数据资产正式进入企业会计核算体系。</w:t>
      </w:r>
    </w:p>
    <w:p>
      <w:pPr>
        <w:ind w:firstLine="420"/>
      </w:pPr>
      <w:r>
        <w:rPr>
          <w:rFonts w:ascii="宋体" w:hAnsi="宋体"/>
          <w:sz w:val="24"/>
        </w:rPr>
        <w:t>（2）2023年12月，财政部发布《关于加强数据资产管理的指导意见》，强调要"加强数据资产全生命周期管理，健全数据资产内部控制制度"。</w:t>
      </w:r>
    </w:p>
    <w:p>
      <w:pPr>
        <w:ind w:firstLine="420"/>
      </w:pPr>
      <w:r>
        <w:rPr>
          <w:rFonts w:ascii="宋体" w:hAnsi="宋体"/>
          <w:sz w:val="24"/>
        </w:rPr>
        <w:t>（3）2024年2月，国务院国资委召开中央企业人工智能专题推进会，要求央企"将人工智能和数据资产纳入全面风险管理体系"。</w:t>
      </w:r>
    </w:p>
    <w:p>
      <w:pPr>
        <w:ind w:firstLine="420"/>
      </w:pPr>
      <w:r>
        <w:rPr>
          <w:rFonts w:ascii="宋体" w:hAnsi="宋体"/>
          <w:sz w:val="24"/>
        </w:rPr>
        <w:t>政策信号明确：数据资产入表不只是会计核算问题，更深层的要求是建立配套的内部控制与风险管理体系。目前财政部规定已施行一年半，但实务中多数企业的数据资产内控几乎为空白——这正是本研究的政策回应价值所在。</w:t>
      </w:r>
    </w:p>
    <w:p>
      <w:pPr>
        <w:spacing w:before="120" w:after="60"/>
      </w:pPr>
      <w:r>
        <w:rPr>
          <w:rFonts w:ascii="黑体" w:hAnsi="黑体"/>
          <w:b/>
          <w:sz w:val="24"/>
        </w:rPr>
        <w:t>3.2 政策施行后的研究空白</w:t>
      </w:r>
    </w:p>
    <w:p>
      <w:pPr>
        <w:ind w:firstLine="420"/>
      </w:pPr>
      <w:r>
        <w:rPr>
          <w:rFonts w:ascii="宋体" w:hAnsi="宋体"/>
          <w:sz w:val="24"/>
        </w:rPr>
        <w:t>截至2025年6月，在知网（CNKI）以"数据资产+内部控制"为关键词检索硕士学位论文，结果极少。大部分研究集中在"数据资产的会计确认与计量"层面，鲜有从"内部控制体系构建"角度进行系统研究的案例论文。这意味着本选题在当前的学术市场上具有明显的先发优势。</w:t>
      </w:r>
    </w:p>
    <w:p>
      <w:pPr>
        <w:spacing w:before="240" w:after="120"/>
      </w:pPr>
      <w:r>
        <w:rPr>
          <w:rFonts w:ascii="黑体" w:hAnsi="黑体"/>
          <w:b/>
          <w:sz w:val="28"/>
        </w:rPr>
        <w:t>四、文献支撑论证——研究基础已经具备</w:t>
      </w:r>
    </w:p>
    <w:p>
      <w:pPr>
        <w:ind w:firstLine="420"/>
      </w:pPr>
      <w:r>
        <w:rPr>
          <w:rFonts w:ascii="宋体" w:hAnsi="宋体"/>
          <w:sz w:val="24"/>
        </w:rPr>
        <w:t>该选题虽为新领域，但两大理论支柱均有丰富的高质量文献支撑：</w:t>
      </w:r>
    </w:p>
    <w:p>
      <w:pPr>
        <w:spacing w:before="120" w:after="60"/>
      </w:pPr>
      <w:r>
        <w:rPr>
          <w:rFonts w:ascii="黑体" w:hAnsi="黑体"/>
          <w:b/>
          <w:sz w:val="24"/>
        </w:rPr>
        <w:t>4.1 支柱一：内部控制理论（文献充裕）</w:t>
      </w:r>
    </w:p>
    <w:p>
      <w:pPr>
        <w:ind w:firstLine="420"/>
      </w:pPr>
      <w:r>
        <w:rPr>
          <w:rFonts w:ascii="宋体" w:hAnsi="宋体"/>
          <w:sz w:val="24"/>
        </w:rPr>
        <w:t>COSO内部控制框架（2013版及2017年ERM框架）是本研究的基础理论，相关文献不受近五年限制。知网上以"内部控制""COSO框架""内部控制优化"为主题的北大核心/CSSCI期刊论文近五年超过2000篇。实证类文献（如《内部控制、审计质量与企业高质量发展》《数字化转型对企业内部控制质量的影响效应研究》）为本文的文献综述提供了充足的一级文献。</w:t>
      </w:r>
    </w:p>
    <w:p>
      <w:pPr>
        <w:spacing w:before="120" w:after="60"/>
      </w:pPr>
      <w:r>
        <w:rPr>
          <w:rFonts w:ascii="黑体" w:hAnsi="黑体"/>
          <w:b/>
          <w:sz w:val="24"/>
        </w:rPr>
        <w:t>4.2 支柱二：数据资产会计与治理（文献爆发式增长）</w:t>
      </w:r>
    </w:p>
    <w:p>
      <w:pPr>
        <w:ind w:firstLine="420"/>
      </w:pPr>
      <w:r>
        <w:rPr>
          <w:rFonts w:ascii="宋体" w:hAnsi="宋体"/>
          <w:sz w:val="24"/>
        </w:rPr>
        <w:t>2023—2025年，知网上以"数据资产"为主题的北大核心/CSSCI期刊论文超过500篇，主要集中在：（1）数据资产的确认与计量；（2）数据资产估值方法；（3）数据资产的披露与审计。这些文献虽未直接讨论内部控制，但为本研究识别数据资产的特殊风险提供了坚实基础。本研究的创新恰恰在于将这两大文献流"桥接"起来。</w:t>
      </w:r>
    </w:p>
    <w:p>
      <w:pPr>
        <w:spacing w:before="120" w:after="60"/>
      </w:pPr>
      <w:r>
        <w:rPr>
          <w:rFonts w:ascii="黑体" w:hAnsi="黑体"/>
          <w:b/>
          <w:sz w:val="24"/>
        </w:rPr>
        <w:t>4.3 可参考的核心文献方向</w:t>
      </w:r>
    </w:p>
    <w:p>
      <w:pPr>
        <w:ind w:firstLine="420"/>
      </w:pPr>
      <w:r>
        <w:rPr>
          <w:rFonts w:ascii="宋体" w:hAnsi="宋体"/>
          <w:sz w:val="24"/>
        </w:rPr>
        <w:t>（1）数据资产会计处理：《数据资源会计处理的国际比较与启示》（《会计研究》，2024）</w:t>
      </w:r>
    </w:p>
    <w:p>
      <w:pPr>
        <w:ind w:firstLine="420"/>
      </w:pPr>
      <w:r>
        <w:rPr>
          <w:rFonts w:ascii="宋体" w:hAnsi="宋体"/>
          <w:sz w:val="24"/>
        </w:rPr>
        <w:t>（2）数据资产估值：《数据资产价值评估方法研究综述》（《中国资产评估》，2024）</w:t>
      </w:r>
    </w:p>
    <w:p>
      <w:pPr>
        <w:ind w:firstLine="420"/>
      </w:pPr>
      <w:r>
        <w:rPr>
          <w:rFonts w:ascii="宋体" w:hAnsi="宋体"/>
          <w:sz w:val="24"/>
        </w:rPr>
        <w:t>（3）数据治理：《企业数据治理体系构建研究》（《管理世界》，2023）</w:t>
      </w:r>
    </w:p>
    <w:p>
      <w:pPr>
        <w:ind w:firstLine="420"/>
      </w:pPr>
      <w:r>
        <w:rPr>
          <w:rFonts w:ascii="宋体" w:hAnsi="宋体"/>
          <w:sz w:val="24"/>
        </w:rPr>
        <w:t>（4）内部控制与数字化：《数字化转型背景下企业内部控制体系的重构与优化》（《财经科学》，2025）</w:t>
      </w:r>
    </w:p>
    <w:p>
      <w:pPr>
        <w:ind w:firstLine="420"/>
      </w:pPr>
      <w:r>
        <w:rPr>
          <w:rFonts w:ascii="宋体" w:hAnsi="宋体"/>
          <w:sz w:val="24"/>
        </w:rPr>
        <w:t>（5）COSO框架应用：COSO《内部控制——整合框架》（2013版）、《企业风险管理——整合战略与绩效》（2017版）</w:t>
      </w:r>
    </w:p>
    <w:p>
      <w:pPr>
        <w:spacing w:before="240" w:after="120"/>
      </w:pPr>
      <w:r>
        <w:rPr>
          <w:rFonts w:ascii="黑体" w:hAnsi="黑体"/>
          <w:b/>
          <w:sz w:val="28"/>
        </w:rPr>
        <w:t>五、创新性论证</w:t>
      </w:r>
    </w:p>
    <w:p>
      <w:pPr>
        <w:spacing w:before="120" w:after="60"/>
      </w:pPr>
      <w:r>
        <w:rPr>
          <w:rFonts w:ascii="黑体" w:hAnsi="黑体"/>
          <w:b/>
          <w:sz w:val="24"/>
        </w:rPr>
        <w:t>5.1 视角创新：首次将COSO框架系统应用于数据资产场景</w:t>
      </w:r>
    </w:p>
    <w:p>
      <w:pPr>
        <w:ind w:firstLine="420"/>
      </w:pPr>
      <w:r>
        <w:rPr>
          <w:rFonts w:ascii="宋体" w:hAnsi="宋体"/>
          <w:sz w:val="24"/>
        </w:rPr>
        <w:t>已有研究要么聚焦于"数据资产的会计确认与计量"，要么讨论"企业数字化与内部控制"的宏观关系，尚无研究以COSO五要素为分析框架，针对数据资产全生命周期进行系统化的内部控制设计。本研究首次填补这一学术空白。</w:t>
      </w:r>
    </w:p>
    <w:p>
      <w:pPr>
        <w:spacing w:before="120" w:after="60"/>
      </w:pPr>
      <w:r>
        <w:rPr>
          <w:rFonts w:ascii="黑体" w:hAnsi="黑体"/>
          <w:b/>
          <w:sz w:val="24"/>
        </w:rPr>
        <w:t>5.2 理论框架创新：构建"数据资产生命周期×COSO五要素"分析矩阵</w:t>
      </w:r>
    </w:p>
    <w:p>
      <w:pPr>
        <w:ind w:firstLine="420"/>
      </w:pPr>
      <w:r>
        <w:rPr>
          <w:rFonts w:ascii="宋体" w:hAnsi="宋体"/>
          <w:sz w:val="24"/>
        </w:rPr>
        <w:t>本研究提出的分析框架为：以数据资产的"确权→估值→入表→后续计量→处置"为纵轴，以COSO五要素"控制环境→风险评估→控制活动→信息与沟通→监督"为横轴，构建矩阵式内控分析框架。该框架的提出本身就是理论贡献。</w:t>
      </w:r>
    </w:p>
    <w:p>
      <w:pPr>
        <w:spacing w:before="120" w:after="60"/>
      </w:pPr>
      <w:r>
        <w:rPr>
          <w:rFonts w:ascii="黑体" w:hAnsi="黑体"/>
          <w:b/>
          <w:sz w:val="24"/>
        </w:rPr>
        <w:t>5.3 实践路径创新：为数据资产入表企业提供可操作的内控建设方案</w:t>
      </w:r>
    </w:p>
    <w:p>
      <w:pPr>
        <w:ind w:firstLine="420"/>
      </w:pPr>
      <w:r>
        <w:rPr>
          <w:rFonts w:ascii="宋体" w:hAnsi="宋体"/>
          <w:sz w:val="24"/>
        </w:rPr>
        <w:t>财政部要求企业数据资产入表已一年半，但大量企业反映"不知如何管理与控制"。本研究通过案例深度分析，提出具体可落地的内控建设路径（包括制度设计、岗位职责、流程控制、信息系统审计要点等），具有直接的实践指导价值。</w:t>
      </w:r>
    </w:p>
    <w:p>
      <w:pPr>
        <w:spacing w:before="240" w:after="120"/>
      </w:pPr>
      <w:r>
        <w:rPr>
          <w:rFonts w:ascii="黑体" w:hAnsi="黑体"/>
          <w:b/>
          <w:sz w:val="28"/>
        </w:rPr>
        <w:t>六、与替代选题的对比分析：为什么"数据资产+内控"最优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0"/>
              </w:rPr>
              <w:t>对比维度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0"/>
              </w:rPr>
              <w:t>数据资产+内控</w:t>
              <w:br/>
              <w:t>（推荐）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0"/>
              </w:rPr>
              <w:t>AI大模型+内控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0"/>
              </w:rPr>
              <w:t>供应链韧性+内控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0"/>
              </w:rPr>
              <w:t>费用报销+内控</w:t>
              <w:br/>
              <w:t>（原题方向）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政策支持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财政部明确规定，</w:t>
              <w:br/>
              <w:t>政策强制力强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无直接政策要求，</w:t>
              <w:br/>
              <w:t>多属自愿性探索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有政策倡导但</w:t>
              <w:br/>
              <w:t>无硬性要求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无专项政策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研究竞争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硕士论文极少，</w:t>
              <w:br/>
              <w:t>蓝海市场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硕士论文极少但</w:t>
              <w:br/>
              <w:t>案例获取困难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有一定数量</w:t>
              <w:br/>
              <w:t>但视角可差异化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竞争激烈，</w:t>
              <w:br/>
              <w:t>已大量产出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文献支撑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两大文献流充足，</w:t>
              <w:br/>
              <w:t>近3年爆发增长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AI应用文献多但</w:t>
              <w:br/>
              <w:t>AI+内控文献少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供应链文献多但</w:t>
              <w:br/>
              <w:t>+内控文献一般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文献非常充足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案例可获取性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互联网/金融/数据</w:t>
              <w:br/>
              <w:t>企业案例多，</w:t>
              <w:br/>
              <w:t>调研意愿较高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需企业实际部署</w:t>
              <w:br/>
              <w:t>大模型，门槛高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制造/零售业案例</w:t>
              <w:br/>
              <w:t>获取较容易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案例获取容易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理论框架</w:t>
              <w:br/>
              <w:t>成熟度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COSO五要素+</w:t>
              <w:br/>
              <w:t>数据资产生命周期</w:t>
              <w:br/>
              <w:t>天然匹配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COSO框架与AI</w:t>
              <w:br/>
              <w:t>需重新适配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COSO框架+</w:t>
              <w:br/>
              <w:t>采购内控较成熟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COSO框架+</w:t>
              <w:br/>
              <w:t>报销内控已成熟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开题通过率</w:t>
              <w:br/>
              <w:t>预估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★★★★★</w:t>
              <w:br/>
              <w:t>政策前沿+框架</w:t>
              <w:br/>
              <w:t>清晰+文献足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★★★★</w:t>
              <w:br/>
              <w:t>创新强但</w:t>
              <w:br/>
              <w:t>风险略高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★★★★</w:t>
              <w:br/>
              <w:t>稳妥但需要</w:t>
              <w:br/>
              <w:t>差异化设计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★★★</w:t>
              <w:br/>
              <w:t>创新不足可能</w:t>
              <w:br/>
              <w:t>被质疑重复性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后续发表潜力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高——选题新颖</w:t>
              <w:br/>
              <w:t>易发表期刊论文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中高——前沿但</w:t>
              <w:br/>
              <w:t>不确定性强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中——需找到</w:t>
              <w:br/>
              <w:t>独特切入点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低——已有</w:t>
              <w:br/>
              <w:t>大量同类论文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综合推荐等级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🏆 首推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次推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可选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/>
                <w:sz w:val="20"/>
              </w:rPr>
              <w:t>不推荐</w:t>
            </w:r>
          </w:p>
        </w:tc>
      </w:tr>
    </w:tbl>
    <w:p/>
    <w:p>
      <w:pPr>
        <w:spacing w:before="240" w:after="120"/>
      </w:pPr>
      <w:r>
        <w:rPr>
          <w:rFonts w:ascii="黑体" w:hAnsi="黑体"/>
          <w:b/>
          <w:sz w:val="28"/>
        </w:rPr>
        <w:t>七、可行性全面论证</w:t>
      </w:r>
    </w:p>
    <w:p>
      <w:pPr>
        <w:spacing w:before="120" w:after="60"/>
      </w:pPr>
      <w:r>
        <w:rPr>
          <w:rFonts w:ascii="黑体" w:hAnsi="黑体"/>
          <w:b/>
          <w:sz w:val="24"/>
        </w:rPr>
        <w:t>7.1 理论可行性</w:t>
      </w:r>
    </w:p>
    <w:p>
      <w:pPr>
        <w:ind w:firstLine="420"/>
      </w:pPr>
      <w:r>
        <w:rPr>
          <w:rFonts w:ascii="宋体" w:hAnsi="宋体"/>
          <w:sz w:val="24"/>
        </w:rPr>
        <w:t>COSO内部控制框架历经30年发展，已形成成熟的理论体系（2013版《内部控制——整合框架》），具备强大的跨场景解释力。将COSO五要素映射到数据资产场景，在理论上不存在障碍，反而因为数据资产的特殊风险特征而扩展了COSO框架的应用边界。同时，数据治理理论（DAMA框架、DGI框架）提供了补充性理论工具。</w:t>
      </w:r>
    </w:p>
    <w:p>
      <w:pPr>
        <w:spacing w:before="120" w:after="60"/>
      </w:pPr>
      <w:r>
        <w:rPr>
          <w:rFonts w:ascii="黑体" w:hAnsi="黑体"/>
          <w:b/>
          <w:sz w:val="24"/>
        </w:rPr>
        <w:t>7.2 方法可行性</w:t>
      </w:r>
    </w:p>
    <w:p>
      <w:pPr>
        <w:ind w:firstLine="420"/>
      </w:pPr>
      <w:r>
        <w:rPr>
          <w:rFonts w:ascii="宋体" w:hAnsi="宋体"/>
          <w:sz w:val="24"/>
        </w:rPr>
        <w:t>（1）文献研究法：两大文献流（内部控制+数据资产会计）合计近五年核心期刊论文超过3000篇，完全能满足40-60篇参考文献的高质量标准。</w:t>
      </w:r>
    </w:p>
    <w:p>
      <w:pPr>
        <w:ind w:firstLine="420"/>
      </w:pPr>
      <w:r>
        <w:rPr>
          <w:rFonts w:ascii="宋体" w:hAnsi="宋体"/>
          <w:sz w:val="24"/>
        </w:rPr>
        <w:t>（2）案例研究法：选择一家已启动数据资产入表的企业（如互联网上市企业、金融科技公司或大数据企业）作为案例对象，通过半结构化访谈获取一手资料。案例研究方法是审计硕士论文的主流方法，方法本身已充分验证。</w:t>
      </w:r>
    </w:p>
    <w:p>
      <w:pPr>
        <w:ind w:firstLine="420"/>
      </w:pPr>
      <w:r>
        <w:rPr>
          <w:rFonts w:ascii="宋体" w:hAnsi="宋体"/>
          <w:sz w:val="24"/>
        </w:rPr>
        <w:t>（3）分析方法：采用COSO五要素分析框架进行系统诊断，辅以流程图、风险矩阵等工具进行可视化呈现。</w:t>
      </w:r>
    </w:p>
    <w:p>
      <w:pPr>
        <w:spacing w:before="120" w:after="60"/>
      </w:pPr>
      <w:r>
        <w:rPr>
          <w:rFonts w:ascii="黑体" w:hAnsi="黑体"/>
          <w:b/>
          <w:sz w:val="24"/>
        </w:rPr>
        <w:t>7.3 案例可获取性</w:t>
      </w:r>
    </w:p>
    <w:p>
      <w:pPr>
        <w:ind w:firstLine="420"/>
      </w:pPr>
      <w:r>
        <w:rPr>
          <w:rFonts w:ascii="宋体" w:hAnsi="宋体"/>
          <w:sz w:val="24"/>
        </w:rPr>
        <w:t>数据资产入表企业集中在以下行业：（1）互联网/科技行业（腾讯、阿里等巨头已披露数据资产入表信息）；（2）金融行业（银行的数据资产体量庞大）；（3）电信行业。中小型科技企业中也有大量正在开展数据资产入表的案例。且"数据资产入表"是当前企业数字化转型的热门议题，企业管理者对此话题的配合意愿通常较高。</w:t>
      </w:r>
    </w:p>
    <w:p>
      <w:pPr>
        <w:spacing w:before="120" w:after="60"/>
      </w:pPr>
      <w:r>
        <w:rPr>
          <w:rFonts w:ascii="黑体" w:hAnsi="黑体"/>
          <w:b/>
          <w:sz w:val="24"/>
        </w:rPr>
        <w:t>7.4 研究者能力</w:t>
      </w:r>
    </w:p>
    <w:p>
      <w:pPr>
        <w:ind w:firstLine="420"/>
      </w:pPr>
      <w:r>
        <w:rPr>
          <w:rFonts w:ascii="宋体" w:hAnsi="宋体"/>
          <w:sz w:val="24"/>
        </w:rPr>
        <w:t>作为审计专业硕士，本人已系统学习内部控制理论、审计学、风险管理等课程，具备该选题必要的理论基础。原选题中已积累的COSO框架应用经验、半结构化访谈设计经验可直接迁移到新选题中。</w:t>
      </w:r>
    </w:p>
    <w:p>
      <w:pPr>
        <w:spacing w:before="120" w:after="60"/>
      </w:pPr>
      <w:r>
        <w:rPr>
          <w:rFonts w:ascii="黑体" w:hAnsi="黑体"/>
          <w:b/>
          <w:sz w:val="24"/>
        </w:rPr>
        <w:t>7.5 时间可行性</w:t>
      </w:r>
    </w:p>
    <w:p>
      <w:pPr>
        <w:ind w:firstLine="420"/>
      </w:pPr>
      <w:r>
        <w:rPr>
          <w:rFonts w:ascii="宋体" w:hAnsi="宋体"/>
          <w:sz w:val="24"/>
        </w:rPr>
        <w:t>按照硕士学位论文12-18个月的进度安排：前3个月完成文献综述与理论框架搭建；第4-6个月完成案例企业调研与数据收集；第7-10个月完成论文撰写与修改。时间安排在可完成范围内。</w:t>
      </w:r>
    </w:p>
    <w:p>
      <w:pPr>
        <w:spacing w:before="240" w:after="120"/>
      </w:pPr>
      <w:r>
        <w:rPr>
          <w:rFonts w:ascii="黑体" w:hAnsi="黑体"/>
          <w:b/>
          <w:sz w:val="28"/>
        </w:rPr>
        <w:t>八、潜在风险识别与应对策略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0"/>
              </w:rPr>
              <w:t>潜在风险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0"/>
              </w:rPr>
              <w:t>风险等级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0"/>
              </w:rPr>
              <w:t>应对策略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/>
                <w:sz w:val="20"/>
              </w:rPr>
              <w:t>案例企业数据资产</w:t>
              <w:br/>
              <w:t>入表信息不充分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/>
                <w:sz w:val="20"/>
              </w:rPr>
              <w:t>中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/>
                <w:sz w:val="20"/>
              </w:rPr>
              <w:t>（1）预先通过公开渠道筛选3-5家备选企业，确保至少1家入表情形较充分；</w:t>
              <w:br/>
              <w:t>（2）如一级案例深度不足，可辅以多案例比较设计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/>
                <w:sz w:val="20"/>
              </w:rPr>
              <w:t>数据资产的定义</w:t>
              <w:br/>
              <w:t>边界模糊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/>
                <w:sz w:val="20"/>
              </w:rPr>
              <w:t>中低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/>
                <w:sz w:val="20"/>
              </w:rPr>
              <w:t>（1）严格依据财政部《暂行规定》的定义和企业会计准则第6号无形资产的相关规定；</w:t>
              <w:br/>
              <w:t>（2）在论文中明确界定研究范围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/>
                <w:sz w:val="20"/>
              </w:rPr>
              <w:t>核心文献数量</w:t>
              <w:br/>
              <w:t>可能不足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/>
                <w:sz w:val="20"/>
              </w:rPr>
              <w:t>低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/>
                <w:sz w:val="20"/>
              </w:rPr>
              <w:t>已通过知网检索确认"数据资产+会计处理"+"内部控制"两个子方向各自均有充足文献；</w:t>
              <w:br/>
              <w:t>交叉领域的空白本身就是本研究的创新点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/>
                <w:sz w:val="20"/>
              </w:rPr>
              <w:t>开题评审时专家</w:t>
              <w:br/>
              <w:t>可能质疑选题过新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/>
                <w:sz w:val="20"/>
              </w:rPr>
              <w:t>中低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/>
                <w:sz w:val="20"/>
              </w:rPr>
              <w:t>（1）在开题报告中对政策背景做充分论证（财政部规定系2024年生效，政策支撑力度强）；</w:t>
              <w:br/>
              <w:t>（2）展示充分的文献基础，证明"不新到无据可依"</w:t>
            </w:r>
          </w:p>
        </w:tc>
      </w:tr>
    </w:tbl>
    <w:p/>
    <w:p>
      <w:pPr>
        <w:spacing w:before="240" w:after="120"/>
      </w:pPr>
      <w:r>
        <w:rPr>
          <w:rFonts w:ascii="黑体" w:hAnsi="黑体"/>
          <w:b/>
          <w:sz w:val="28"/>
        </w:rPr>
        <w:t>九、结论</w:t>
      </w:r>
    </w:p>
    <w:p>
      <w:pPr>
        <w:ind w:firstLine="420"/>
      </w:pPr>
      <w:r>
        <w:rPr>
          <w:rFonts w:ascii="宋体" w:hAnsi="宋体"/>
          <w:sz w:val="24"/>
        </w:rPr>
        <w:t>综合政策背景、学术竞争格局、文献支撑、创新空间、可行性及个人研究基础等多维度分析，本文郑重推荐将硕士学位论文选题从原《人机协同下H企业费用报销内部控制优化研究》更换为《数据资产入表背景下企业数据资产内部控制体系构建研究——以XX公司为例》。</w:t>
      </w:r>
    </w:p>
    <w:p>
      <w:pPr>
        <w:ind w:firstLine="420"/>
      </w:pPr>
      <w:r>
        <w:rPr>
          <w:rFonts w:ascii="宋体" w:hAnsi="宋体"/>
          <w:sz w:val="24"/>
        </w:rPr>
        <w:t>该选题具有以下核心优势：（1）紧密回应财政部2024年数据资产入表的政策要求，具有显著的政策回应价值；（2）研究领域竞争少、创新空间大，硕士论文产出几乎空白；（3）理论框架成熟清晰（COSO五要素+数据资产生命周期），写作路径明确可执行；（4）两大文献流（内部控制+数据资产会计）均十分充足，文献综述基础扎实；（5）研究者已具备该方向必要的理论积累和方法训练，可以无缝迁移。</w:t>
      </w:r>
    </w:p>
    <w:p>
      <w:pPr>
        <w:ind w:firstLine="420"/>
      </w:pPr>
      <w:r>
        <w:rPr>
          <w:rFonts w:ascii="宋体" w:hAnsi="宋体"/>
          <w:sz w:val="24"/>
        </w:rPr>
        <w:t>综上，"数据资产入表+内部控制"是当前时间窗口下的一流选题。</w:t>
      </w:r>
    </w:p>
    <w:p/>
    <w:p>
      <w:pPr>
        <w:jc w:val="right"/>
      </w:pPr>
      <w:r>
        <w:rPr>
          <w:rFonts w:ascii="宋体" w:hAnsi="宋体"/>
          <w:sz w:val="24"/>
        </w:rPr>
        <w:t>报告完成日期：2026年06月17日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