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</w:pPr>
      <w:r>
        <w:rPr>
          <w:b/>
          <w:color w:val="0B4A7B"/>
          <w:sz w:val="48"/>
        </w:rPr>
        <w:t>MMPM — MARKETING SPRINT</w:t>
      </w:r>
    </w:p>
    <w:p>
      <w:pPr>
        <w:spacing w:after="400"/>
      </w:pPr>
      <w:r>
        <w:rPr>
          <w:i/>
          <w:color w:val="555555"/>
          <w:sz w:val="24"/>
        </w:rPr>
        <w:t>Repositioning around the audit-grade-memory wedge for the launch window.</w:t>
      </w:r>
    </w:p>
    <w:p>
      <w:pPr>
        <w:pBdr>
          <w:bottom w:val="single" w:sz="8" w:space="1" w:color="0B4A7B"/>
        </w:pBdr>
      </w:pP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 xml:space="preserve">Wedge:        </w:t>
      </w:r>
      <w:r>
        <w:rPr>
          <w:rFonts w:ascii="Arial" w:hAnsi="Arial"/>
          <w:sz w:val="20"/>
        </w:rPr>
        <w:t>Verifiable, predictive memory for AI agents that need an audit trail. From $9.</w:t>
      </w: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 xml:space="preserve">ICP:          </w:t>
      </w:r>
      <w:r>
        <w:rPr>
          <w:rFonts w:ascii="Arial" w:hAnsi="Arial"/>
          <w:sz w:val="20"/>
        </w:rPr>
        <w:t>Mid-market AI vendors (Series A-C, ~$5-50M ARR) selling into regulated industries</w:t>
      </w: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 xml:space="preserve">Strategy:     </w:t>
      </w:r>
      <w:r>
        <w:rPr>
          <w:rFonts w:ascii="Arial" w:hAnsi="Arial"/>
          <w:sz w:val="20"/>
        </w:rPr>
        <w:t>OEM the audit trail — your customers' compliance team signs off, you keep your pitch</w:t>
      </w: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>Sprint window:</w:t>
      </w:r>
      <w:r>
        <w:rPr>
          <w:rFonts w:ascii="Arial" w:hAnsi="Arial"/>
          <w:sz w:val="20"/>
        </w:rPr>
        <w:t>2026-05-05 → 2026-06-28 (8 weeks, aligned with engineering Sprint 0–4)</w:t>
      </w: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 xml:space="preserve">Budget:       </w:t>
      </w:r>
      <w:r>
        <w:rPr>
          <w:rFonts w:ascii="Arial" w:hAnsi="Arial"/>
          <w:sz w:val="20"/>
        </w:rPr>
        <w:t>$500–$2,000 paid acquisition; majority organic + earned</w:t>
      </w:r>
    </w:p>
    <w:p>
      <w:pPr>
        <w:spacing w:after="40"/>
      </w:pPr>
      <w:r>
        <w:rPr>
          <w:rFonts w:ascii="Arial" w:hAnsi="Arial"/>
          <w:b/>
          <w:color w:val="555555"/>
          <w:sz w:val="20"/>
        </w:rPr>
        <w:t xml:space="preserve">Format:       </w:t>
      </w:r>
      <w:r>
        <w:rPr>
          <w:rFonts w:ascii="Arial" w:hAnsi="Arial"/>
          <w:sz w:val="20"/>
        </w:rPr>
        <w:t>Brief is brutal &amp; specific by request — pair with engineering sprint plan v2</w:t>
      </w:r>
    </w:p>
    <w:p>
      <w:pPr>
        <w:spacing w:after="200"/>
      </w:pPr>
    </w:p>
    <w:p>
      <w:pPr>
        <w:pBdr>
          <w:bottom w:val="single" w:sz="8" w:space="1" w:color="0B4A7B"/>
        </w:pBdr>
      </w:pPr>
    </w:p>
    <w:p>
      <w:pPr>
        <w:spacing w:before="240" w:after="40"/>
      </w:pPr>
      <w:r>
        <w:rPr>
          <w:b/>
          <w:color w:val="555555"/>
          <w:sz w:val="20"/>
        </w:rPr>
        <w:t>HEADLINE</w:t>
      </w:r>
    </w:p>
    <w:p>
      <w:pPr>
        <w:spacing w:after="240"/>
      </w:pPr>
      <w:r>
        <w:rPr>
          <w:rFonts w:ascii="Arial" w:hAnsi="Arial"/>
          <w:b/>
          <w:color w:val="0B4A7B"/>
          <w:sz w:val="24"/>
        </w:rPr>
        <w:t xml:space="preserve">Stop fighting Mem0 and Anthropic for indie-developer mindshare. </w:t>
      </w:r>
      <w:r>
        <w:rPr>
          <w:rFonts w:ascii="Arial" w:hAnsi="Arial"/>
          <w:sz w:val="24"/>
        </w:rPr>
        <w:t xml:space="preserve">The market is not 'AI memory' — it is the regulated AI vendor whose customer's compliance team won't sign off without a tamper-evident audit trail of what the AI saw, suggested, and stored. MMPM's Merkle proofs (RFC 6962) plus the EU AI Act Article 12 deadline (currently August 2 2026, possibly deferred to December 2027 by the Digital Omnibus — third trilogue May 13) plus SEC Rule 17a-4's audit-trail alternative give you a 90-day window to own one sentence: </w:t>
      </w:r>
      <w:r>
        <w:rPr>
          <w:rFonts w:ascii="Arial" w:hAnsi="Arial"/>
          <w:b/>
          <w:color w:val="0B4A7B"/>
          <w:sz w:val="24"/>
        </w:rPr>
        <w:t>"OEM the audit trail."</w:t>
      </w:r>
      <w:r>
        <w:rPr>
          <w:rFonts w:ascii="Arial" w:hAnsi="Arial"/>
          <w:sz w:val="24"/>
        </w:rPr>
        <w:t xml:space="preserve"> That sentence is what this sprint ships.</w:t>
      </w:r>
    </w:p>
    <w:p>
      <w:r>
        <w:br w:type="page"/>
      </w:r>
    </w:p>
    <w:p>
      <w:pPr>
        <w:pStyle w:val="Heading1"/>
        <w:spacing w:before="0" w:after="160"/>
      </w:pPr>
      <w:r>
        <w:t>1 · Executive Summary</w:t>
      </w:r>
    </w:p>
    <w:p>
      <w:pPr>
        <w:spacing w:after="120"/>
      </w:pPr>
      <w:r>
        <w:t>This sprint repositions MMPM from a feature-list memory product into a regulatory-anchored audit primitive. It runs in parallel with engineering Sprint 0–4 (2026-05-05 → 2026-06-28). It does not require any code changes — the technical foundation (RFC 6962 Merkle, sub-millisecond recall, MCP-native) is already the right product for this audience. What changes is the door we knock on, the words we use, and the people we put in front of it.</w:t>
      </w:r>
    </w:p>
    <w:p>
      <w:pPr>
        <w:spacing w:before="80" w:after="80"/>
      </w:pPr>
      <w:r>
        <w:rPr>
          <w:b/>
        </w:rPr>
        <w:t>The strategic shifts:</w:t>
      </w:r>
    </w:p>
    <w:p>
      <w:pPr>
        <w:pStyle w:val="ListBullet"/>
        <w:spacing w:after="40"/>
      </w:pPr>
      <w:r>
        <w:t>From "persistent memory for AI agents" → "OEM the audit trail your customers' compliance team requires."</w:t>
      </w:r>
    </w:p>
    <w:p>
      <w:pPr>
        <w:pStyle w:val="ListBullet"/>
        <w:spacing w:after="40"/>
      </w:pPr>
      <w:r>
        <w:t>From four ICPs (indie devs, AI engineers, compliance buyers, enterprise) → one ICP (mid-market AI vendors selling into regulated verticals).</w:t>
      </w:r>
    </w:p>
    <w:p>
      <w:pPr>
        <w:pStyle w:val="ListBullet"/>
        <w:spacing w:after="40"/>
      </w:pPr>
      <w:r>
        <w:t>From "$5/mo Mem0 alternative" SEO play → ABM-style outbound + earned media + targeted LinkedIn ads to ~22 named companies.</w:t>
      </w:r>
    </w:p>
    <w:p>
      <w:pPr>
        <w:pStyle w:val="ListBullet"/>
        <w:spacing w:after="40"/>
      </w:pPr>
      <w:r>
        <w:t>From engineering moats (Markov hit rate, atom counts) → regulatory alignment (Article 12, SEC 17a-4, VCP v1.1) and a public benchmark.</w:t>
      </w:r>
    </w:p>
    <w:p>
      <w:pPr>
        <w:spacing w:before="160" w:after="80"/>
      </w:pPr>
      <w:r>
        <w:rPr>
          <w:b/>
        </w:rPr>
        <w:t>The 8-week sprint produces:</w:t>
      </w:r>
    </w:p>
    <w:p>
      <w:pPr>
        <w:pStyle w:val="ListBullet"/>
        <w:spacing w:after="40"/>
      </w:pPr>
      <w:r>
        <w:t>One repositioned homepage hero + a new /for-regulated-ai landing page targeting the wedge.</w:t>
      </w:r>
    </w:p>
    <w:p>
      <w:pPr>
        <w:pStyle w:val="ListBullet"/>
        <w:spacing w:after="40"/>
      </w:pPr>
      <w:r>
        <w:t>Five anchor essays (one per week 1-5), each addressing a specific buyer concern with regulatory citations.</w:t>
      </w:r>
    </w:p>
    <w:p>
      <w:pPr>
        <w:pStyle w:val="ListBullet"/>
        <w:spacing w:after="40"/>
      </w:pPr>
      <w:r>
        <w:t>A public benchmark page (LongMemEval vs. Mem0 + free MCP memory) released as a content asset for organic distribution.</w:t>
      </w:r>
    </w:p>
    <w:p>
      <w:pPr>
        <w:pStyle w:val="ListBullet"/>
        <w:spacing w:after="40"/>
      </w:pPr>
      <w:r>
        <w:t>An ABM-style outbound campaign to ~22 named target companies using LinkedIn Sales Navigator + warm intros.</w:t>
      </w:r>
    </w:p>
    <w:p>
      <w:pPr>
        <w:pStyle w:val="ListBullet"/>
        <w:spacing w:after="40"/>
      </w:pPr>
      <w:r>
        <w:t>$800-$1,200 of paid LinkedIn ads to named companies × eight job titles, plus one newsletter sponsorship.</w:t>
      </w:r>
    </w:p>
    <w:p>
      <w:pPr>
        <w:pStyle w:val="ListBullet"/>
        <w:spacing w:after="40"/>
      </w:pPr>
      <w:r>
        <w:t>One launch moment on 2026-06-28 coordinated with AI Engineer World's Fair (June 29-July 2 in SF).</w:t>
      </w:r>
    </w:p>
    <w:p>
      <w:pPr>
        <w:pStyle w:val="ListBullet"/>
        <w:spacing w:after="40"/>
      </w:pPr>
      <w:r>
        <w:t>A measurement plan with five primary KPIs and a kill-switch budget rule.</w:t>
      </w:r>
    </w:p>
    <w:p>
      <w:r>
        <w:br w:type="page"/>
      </w:r>
    </w:p>
    <w:p>
      <w:pPr>
        <w:pStyle w:val="Heading1"/>
        <w:spacing w:after="160"/>
      </w:pPr>
      <w:r>
        <w:t>2 · Strategic Context — Why Now</w:t>
      </w:r>
    </w:p>
    <w:p>
      <w:pPr>
        <w:pStyle w:val="Heading3"/>
        <w:spacing w:before="80" w:after="80"/>
      </w:pPr>
      <w:r>
        <w:t>2.1 The EU regulatory window</w:t>
      </w:r>
    </w:p>
    <w:p>
      <w:pPr>
        <w:spacing w:after="80"/>
      </w:pPr>
      <w:r>
        <w:t>EU AI Act Article 12 mandates automatic logging "integrated into the core design," with traceability and tamper-evidence required (the article is silent on technical mechanism — Merkle + RFC 6962 is the cleanest implementation pattern, as VeritasChain VCP v1.1 documents publicly).</w:t>
      </w:r>
    </w:p>
    <w:p>
      <w:pPr>
        <w:spacing w:after="80"/>
      </w:pPr>
      <w:r>
        <w:t>On 19 November 2025 the European Commission published the Digital Omnibus on AI — a proposal to defer the high-risk compliance deadline from 2 August 2026 to 2 December 2027. The second trilogue (28 April 2026) failed to reach agreement. The third trilogue is scheduled for 13 May 2026.</w:t>
      </w:r>
    </w:p>
    <w:p>
      <w:pPr>
        <w:spacing w:before="80" w:after="80"/>
      </w:pPr>
      <w:r>
        <w:rPr>
          <w:b/>
        </w:rPr>
        <w:t>Two scenarios — both favour MMPM, neither requires a copy rewrite:</w:t>
      </w:r>
    </w:p>
    <w:p>
      <w:pPr>
        <w:pStyle w:val="ListBullet"/>
        <w:spacing w:after="40"/>
      </w:pPr>
      <w:r>
        <w:t>Omnibus passes (deferral confirmed). Buyer urgency drops, but Article 12's architectural requirement is unchanged. Marketing pivot: "the Omnibus delays the deadline; it doesn't change the spec — bolt-on audit later costs 10x build-in audit now."</w:t>
      </w:r>
    </w:p>
    <w:p>
      <w:pPr>
        <w:pStyle w:val="ListBullet"/>
        <w:spacing w:after="40"/>
      </w:pPr>
      <w:r>
        <w:t>Omnibus fails or stalls past 2 August. The original deadline holds. Marketing pivot: "60-day countdown" on every channel; this becomes the strongest fundraising-style urgency moment of 2026.</w:t>
      </w:r>
    </w:p>
    <w:p>
      <w:pPr>
        <w:spacing w:after="120"/>
      </w:pPr>
      <w:r>
        <w:rPr>
          <w:i/>
          <w:color w:val="555555"/>
        </w:rPr>
        <w:t>Either way the homepage and the five essay arc must be drafted to be evergreen against both outcomes — language like "60 days" or "by August" should be replaced with "the Article 12 architecture decision" so the copy doesn't expire on May 13.</w:t>
      </w:r>
    </w:p>
    <w:p>
      <w:pPr>
        <w:pStyle w:val="Heading3"/>
        <w:spacing w:before="160" w:after="80"/>
      </w:pPr>
      <w:r>
        <w:t>2.2 The US regulatory anchor</w:t>
      </w:r>
    </w:p>
    <w:p>
      <w:pPr>
        <w:spacing w:after="120"/>
      </w:pPr>
      <w:r>
        <w:t>SEC Rule 17a-4(f) was amended in 2023 to remove the strict WORM mandate and add an explicit audit-trail alternative — "a system that maintains a complete time-stamped audit trail that includes... all modifications to and deletions of a record... to permit recreation of an original record if it is altered, over-written, or erased." Merkle leaves are exactly this. For US fintech AI vendors, this is the 17a-4(f) implementation pattern. Use the SEC text verbatim in collateral — it is regulatory text, copy-pasteable, free credibility.</w:t>
      </w:r>
    </w:p>
    <w:p>
      <w:pPr>
        <w:pStyle w:val="Heading3"/>
        <w:spacing w:before="160" w:after="80"/>
      </w:pPr>
      <w:r>
        <w:t>2.3 The competitive slot</w:t>
      </w:r>
    </w:p>
    <w:p>
      <w:pPr>
        <w:spacing w:after="80"/>
      </w:pPr>
      <w:r>
        <w:t>Verifiable / cryptographic AI memory is an open market position in May 2026. The closest adjacencies are not competitors:</w:t>
      </w:r>
    </w:p>
    <w:p>
      <w:pPr>
        <w:pStyle w:val="ListBullet"/>
        <w:spacing w:after="40"/>
      </w:pPr>
      <w:r>
        <w:t>VeritasChain Standards Organization — non-profit standards body publishing VCP v1.1 (Merkle + Ed25519). Position MMPM as a VCP-conformant commercial implementation. Ride their visibility, do not fight them.</w:t>
      </w:r>
    </w:p>
    <w:p>
      <w:pPr>
        <w:pStyle w:val="ListBullet"/>
        <w:spacing w:after="40"/>
      </w:pPr>
      <w:r>
        <w:t>Credo AI — AI governance / policy enforcement layer. They tell you whether a model is allowed; MMPM proves what it remembered. Different layers; partnership opportunity.</w:t>
      </w:r>
    </w:p>
    <w:p>
      <w:pPr>
        <w:pStyle w:val="ListBullet"/>
        <w:spacing w:after="40"/>
      </w:pPr>
      <w:r>
        <w:t>Zep — closest commercial memory product, now positioned as "context engineering platform." SOC 2 Type II, HIPAA BAA. They sell enterprise-grade memory; they do not sell cryptographic verifiability per write. That is the wedge.</w:t>
      </w:r>
    </w:p>
    <w:p>
      <w:pPr>
        <w:pStyle w:val="ListBullet"/>
        <w:spacing w:after="40"/>
      </w:pPr>
      <w:r>
        <w:t>Mem0 / Letta / Cognee — developer-tier agent memory frameworks. Different ICP. Compete only at the lower edge of the funnel where MMPM should not be playing anyway.</w:t>
      </w:r>
    </w:p>
    <w:p>
      <w:pPr>
        <w:pStyle w:val="Heading1"/>
        <w:spacing w:before="280" w:after="160"/>
      </w:pPr>
      <w:r>
        <w:t>3 · Positioning &amp; Wedge</w:t>
      </w:r>
    </w:p>
    <w:p>
      <w:pPr>
        <w:pStyle w:val="Heading3"/>
        <w:spacing w:after="80"/>
      </w:pPr>
      <w:r>
        <w:t>3.1 The one-sentence wedge</w:t>
      </w:r>
    </w:p>
    <w:p>
      <w:pPr>
        <w:spacing w:after="160"/>
      </w:pPr>
      <w:r>
        <w:rPr>
          <w:rFonts w:ascii="Arial" w:hAnsi="Arial"/>
          <w:b/>
          <w:i/>
          <w:color w:val="0B4A7B"/>
          <w:sz w:val="28"/>
        </w:rPr>
        <w:t>Verifiable, predictive memory for AI agents that need an audit trail. From $9.</w:t>
      </w:r>
    </w:p>
    <w:p>
      <w:pPr>
        <w:pStyle w:val="Heading3"/>
        <w:spacing w:before="160" w:after="80"/>
      </w:pPr>
      <w:r>
        <w:t>3.2 Positioning statement (internal)</w:t>
      </w:r>
    </w:p>
    <w:p>
      <w:pPr>
        <w:spacing w:after="120"/>
      </w:pPr>
      <w:r>
        <w:rPr>
          <w:rFonts w:ascii="Arial" w:hAnsi="Arial"/>
          <w:sz w:val="22"/>
        </w:rPr>
        <w:t xml:space="preserve">For </w:t>
      </w:r>
      <w:r>
        <w:rPr>
          <w:rFonts w:ascii="Arial" w:hAnsi="Arial"/>
          <w:b/>
          <w:sz w:val="22"/>
        </w:rPr>
        <w:t>mid-market AI vendors who sell into regulated industries</w:t>
      </w:r>
      <w:r>
        <w:rPr>
          <w:rFonts w:ascii="Arial" w:hAnsi="Arial"/>
          <w:sz w:val="22"/>
        </w:rPr>
        <w:t xml:space="preserve">, who need </w:t>
      </w:r>
      <w:r>
        <w:rPr>
          <w:rFonts w:ascii="Arial" w:hAnsi="Arial"/>
          <w:b/>
          <w:sz w:val="22"/>
        </w:rPr>
        <w:t>their customers' compliance teams to sign off on AI memory</w:t>
      </w:r>
      <w:r>
        <w:rPr>
          <w:rFonts w:ascii="Arial" w:hAnsi="Arial"/>
          <w:sz w:val="22"/>
        </w:rPr>
        <w:t xml:space="preserve">, MMPM is a </w:t>
      </w:r>
      <w:r>
        <w:rPr>
          <w:rFonts w:ascii="Arial" w:hAnsi="Arial"/>
          <w:b/>
          <w:sz w:val="22"/>
        </w:rPr>
        <w:t>verifiable, predictive memory backend</w:t>
      </w:r>
      <w:r>
        <w:rPr>
          <w:rFonts w:ascii="Arial" w:hAnsi="Arial"/>
          <w:sz w:val="22"/>
        </w:rPr>
        <w:t xml:space="preserve"> that </w:t>
      </w:r>
      <w:r>
        <w:rPr>
          <w:rFonts w:ascii="Arial" w:hAnsi="Arial"/>
          <w:b/>
          <w:sz w:val="22"/>
        </w:rPr>
        <w:t>provides cryptographic Merkle proofs of every memory write (RFC 6962, Article 12-aligned, SEC 17a-4(f)-conformant)</w:t>
      </w:r>
      <w:r>
        <w:rPr>
          <w:rFonts w:ascii="Arial" w:hAnsi="Arial"/>
          <w:sz w:val="22"/>
        </w:rPr>
        <w:t xml:space="preserve">. Unlike </w:t>
      </w:r>
      <w:r>
        <w:rPr>
          <w:rFonts w:ascii="Arial" w:hAnsi="Arial"/>
          <w:b/>
          <w:sz w:val="22"/>
        </w:rPr>
        <w:t>Zep / Mem0 / free MCP memory servers</w:t>
      </w:r>
      <w:r>
        <w:rPr>
          <w:rFonts w:ascii="Arial" w:hAnsi="Arial"/>
          <w:sz w:val="22"/>
        </w:rPr>
        <w:t>, MMPM is the only commercial memory product that gives the buyer's auditor a primitive they can verify offline.</w:t>
      </w:r>
    </w:p>
    <w:p>
      <w:pPr>
        <w:pStyle w:val="Heading3"/>
        <w:spacing w:before="160" w:after="80"/>
      </w:pPr>
      <w:r>
        <w:t>3.3 Three-line homepage hero (proposed)</w:t>
      </w:r>
    </w:p>
    <w:p>
      <w:pPr>
        <w:spacing w:after="80"/>
      </w:pPr>
      <w:r>
        <w:rPr>
          <w:rFonts w:ascii="Arial" w:hAnsi="Arial"/>
          <w:b/>
          <w:color w:val="555555"/>
          <w:sz w:val="20"/>
        </w:rPr>
        <w:t xml:space="preserve">H1: </w:t>
      </w:r>
      <w:r>
        <w:rPr>
          <w:rFonts w:ascii="Arial" w:hAnsi="Arial"/>
          <w:b/>
          <w:color w:val="0B4A7B"/>
          <w:sz w:val="26"/>
        </w:rPr>
        <w:t>Verifiable memory for AI you can prove behaved correctly.</w:t>
      </w:r>
    </w:p>
    <w:p>
      <w:pPr>
        <w:spacing w:after="80"/>
      </w:pPr>
      <w:r>
        <w:rPr>
          <w:rFonts w:ascii="Arial" w:hAnsi="Arial"/>
          <w:b/>
          <w:color w:val="555555"/>
          <w:sz w:val="20"/>
        </w:rPr>
        <w:t xml:space="preserve">H2: </w:t>
      </w:r>
      <w:r>
        <w:rPr>
          <w:rFonts w:ascii="Arial" w:hAnsi="Arial"/>
          <w:i/>
          <w:sz w:val="22"/>
        </w:rPr>
        <w:t>Every memory write gets a SHA-256 Merkle proof. Your customer's auditor can verify it offline. Article 12-ready. SEC 17a-4(f)-conformant.</w:t>
      </w:r>
    </w:p>
    <w:p>
      <w:pPr>
        <w:spacing w:after="80"/>
      </w:pPr>
      <w:r>
        <w:rPr>
          <w:rFonts w:ascii="Arial" w:hAnsi="Arial"/>
          <w:b/>
          <w:color w:val="555555"/>
          <w:sz w:val="20"/>
        </w:rPr>
        <w:t xml:space="preserve">CTA: </w:t>
      </w:r>
      <w:r>
        <w:rPr>
          <w:rFonts w:ascii="Arial" w:hAnsi="Arial"/>
          <w:sz w:val="22"/>
        </w:rPr>
        <w:t>Show me a proof  →   Talk to engineering  →   From $9/month</w:t>
      </w:r>
    </w:p>
    <w:p>
      <w:pPr>
        <w:pStyle w:val="Heading3"/>
        <w:spacing w:before="160" w:after="80"/>
      </w:pPr>
      <w:r>
        <w:t>3.4 What we explicitly demote</w:t>
      </w:r>
    </w:p>
    <w:p>
      <w:pPr>
        <w:pStyle w:val="ListBullet"/>
        <w:spacing w:after="40"/>
      </w:pPr>
      <w:r>
        <w:t>"64% Markov hit rate" — meaningless without a baseline. Demote to engine page; replace homepage prominence with sub-millisecond recall (0.045ms p50) which is concrete and benchmarkable.</w:t>
      </w:r>
    </w:p>
    <w:p>
      <w:pPr>
        <w:pStyle w:val="ListBullet"/>
        <w:spacing w:after="40"/>
      </w:pPr>
      <w:r>
        <w:t>"Mem0 alternative" SEO keyword — keep in metadata for incidental traffic but stop building the campaign around competing on indie-developer features.</w:t>
      </w:r>
    </w:p>
    <w:p>
      <w:pPr>
        <w:pStyle w:val="ListBullet"/>
        <w:spacing w:after="40"/>
      </w:pPr>
      <w:r>
        <w:t>"$5/mo Starter" hero pricing — the Solo $9 tier is the floor we lead with publicly; Starter is a footer note for hobbyists and an upgrade path on the dashboard.</w:t>
      </w:r>
    </w:p>
    <w:p>
      <w:pPr>
        <w:pStyle w:val="ListBullet"/>
        <w:spacing w:after="40"/>
      </w:pPr>
      <w:r>
        <w:t>Generic "persistent memory" framing — every other memory product owns this. Compete where you can win.</w:t>
      </w:r>
    </w:p>
    <w:p>
      <w:r>
        <w:br w:type="page"/>
      </w:r>
    </w:p>
    <w:p>
      <w:pPr>
        <w:pStyle w:val="Heading1"/>
        <w:spacing w:after="160"/>
      </w:pPr>
      <w:r>
        <w:t>4 · ICP — Who We Are Selling To</w:t>
      </w:r>
    </w:p>
    <w:p>
      <w:pPr>
        <w:spacing w:after="120"/>
      </w:pPr>
      <w:r>
        <w:t>The primary ICP is the mid-market AI vendor (Series A–C, ~$5–$50M ARR, 20–200 employees) building agentic AI products for regulated verticals. They are not the regulator; they are the company whose customer is the regulator's responsibility. They have urgency that Fortune 500 doesn't, budget that indie devs don't, and a specific structural pain ("my customer's CISO won't sign") that MMPM solves directly.</w:t>
      </w:r>
    </w:p>
    <w:p>
      <w:pPr>
        <w:pStyle w:val="Heading3"/>
        <w:spacing w:before="160" w:after="80"/>
      </w:pPr>
      <w:r>
        <w:t>4.1 Buyer card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734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Title (primary)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VP Engineering / Head of Platform / CTO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Title (secondary)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Head of Trust &amp; Safety, Head of Compliance Engineering, Field CTO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Company stage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Series A–C, $5M–$50M ARR, 20–200 employees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Vertical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Legal AI, Healthcare AI, Bank-tech / RegTech, Insurance AI, Govtech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Buying trigger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Customer's compliance / risk team blocks deal pending audit-trail evidence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Budget reality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$500-$5,000/mo MMPM line item is non-event; can be approved at VPE level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Procurement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Light vendor onboarding (security questionnaire, DPA, SOC 2 if available); 30-90 days, not 6-12 months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Discovery channels</w:t>
            </w:r>
          </w:p>
        </w:tc>
        <w:tc>
          <w:tcPr>
            <w:tcW w:type="dxa" w:w="73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LinkedIn, Latent Space, MLOps Community Slack, peer referral, AI Engineer events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Decision criteria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1) Does it actually satisfy our customer's auditor? 2) Can we OEM/embed it cleanly? 3) Is it durable (vendor stability)?</w:t>
            </w:r>
          </w:p>
        </w:tc>
      </w:tr>
    </w:tbl>
    <w:p>
      <w:pPr>
        <w:pStyle w:val="Heading3"/>
        <w:spacing w:before="240" w:after="80"/>
      </w:pPr>
      <w:r>
        <w:t>4.2 Anti-ICP — who we actively de-prioritise this sprint</w:t>
      </w:r>
    </w:p>
    <w:p>
      <w:pPr>
        <w:pStyle w:val="ListBullet"/>
        <w:spacing w:after="40"/>
      </w:pPr>
      <w:r>
        <w:t>Indie developers building hobby agents. Mem0/free-MCP wins this segment; we cannot.</w:t>
      </w:r>
    </w:p>
    <w:p>
      <w:pPr>
        <w:pStyle w:val="ListBullet"/>
        <w:spacing w:after="40"/>
      </w:pPr>
      <w:r>
        <w:t>Fortune 500 banks / hospitals / agencies as the direct buyer. Real, but the cycle outruns runway. Sell into them via the AI vendors above.</w:t>
      </w:r>
    </w:p>
    <w:p>
      <w:pPr>
        <w:pStyle w:val="ListBullet"/>
        <w:spacing w:after="40"/>
      </w:pPr>
      <w:r>
        <w:t>Researchers / academics who want a free open-source memory store. Treat as community; do not allocate sprint resources.</w:t>
      </w:r>
    </w:p>
    <w:p>
      <w:pPr>
        <w:pStyle w:val="Heading3"/>
        <w:spacing w:before="240" w:after="80"/>
      </w:pPr>
      <w:r>
        <w:t>4.3 Named target companies (22)</w:t>
      </w:r>
    </w:p>
    <w:p>
      <w:pPr>
        <w:spacing w:after="80"/>
      </w:pPr>
      <w:r>
        <w:rPr>
          <w:i/>
          <w:color w:val="555555"/>
        </w:rPr>
        <w:t>From the ICP-research pass. Treat these as a Sales Navigator list for ABM and a paid-LinkedIn audience filter. Each has a specific reason MMPM matters to them.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08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158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518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Why MMPM matters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Spellbook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Legal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Word-plug-in deployments need provable AI suggestions for malpractice + privilege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EvenUp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Legal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Demand letters are evidentiary; provable memory chain defends against discovery challenges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Eve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Legal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Plaintiff case management; same evidentiary pressure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GC AI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Legal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Sells INTO compliance teams; Article 12 logs are a feature not overhead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Ironclad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Legal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$200M ARR; March-2026 agent layer is fresh and audit-hungry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Nabla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GDPR-native ambient scribe; EU exposure makes Article 12 their direct problem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Heidi Health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60%+ NHS GP coverage; ambient Care Partner needs UK regulator-ready logs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Suki AI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Voice clinician assistant; HIPAA + state AI laws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Ambience Healthcare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Multi-specialty ambient scribe; same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DeepScribe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Clinician scribe; same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OpenEvidence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Healthcare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Clinical decision support — every recommendation needs immutable evidence trace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Hummingbird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AML case management; Forrester Wave Q1 2026; AI Assistant launched — direct fit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Sardine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Agentic fraud/AML; consolidating 11 vendors at F500; needs auditability story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ComplyAdvantage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Sanctions / PEP screening; auditable AI is procurement table stakes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Quantexa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Entity resolution at HSBC, BNY Mellon — bank procurement requires this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Saifr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Fidelity Labs spinout; marketing-comms compliance NLP — direct 17a-4 exposure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Alloy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RegTech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KYC/onboarding; same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Sixfold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Insurance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Series B $30M Jan 2026; underwriting = textbook EU AI Act high-risk category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EvolutionIQ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Insurance AI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Claims guidance (MetLife platform); claims decisions need traceability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Tractable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Insurance AI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Property/auto claims AI; same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208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Rebellion Defense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Govtech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DoD AI software; ATO process explicitly needs cryptographic audit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08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Mark43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Govtech</w:t>
            </w:r>
          </w:p>
        </w:tc>
        <w:tc>
          <w:tcPr>
            <w:tcW w:type="dxa" w:w="51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Public safety platform; FOIA + civil-rights oversight pressure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t>5 · Messaging Hierarchy</w:t>
      </w:r>
    </w:p>
    <w:p>
      <w:pPr>
        <w:pStyle w:val="Heading3"/>
        <w:spacing w:after="80"/>
      </w:pPr>
      <w:r>
        <w:t>5.1 Core message</w:t>
      </w:r>
    </w:p>
    <w:p>
      <w:pPr>
        <w:spacing w:after="160"/>
      </w:pPr>
      <w:r>
        <w:rPr>
          <w:rFonts w:ascii="Arial" w:hAnsi="Arial"/>
          <w:b/>
          <w:i/>
          <w:color w:val="0B4A7B"/>
          <w:sz w:val="26"/>
        </w:rPr>
        <w:t>Your customer's auditor doesn't trust your AI. Give them math instead of vibes.</w:t>
      </w:r>
    </w:p>
    <w:p>
      <w:pPr>
        <w:pStyle w:val="Heading3"/>
        <w:spacing w:before="160" w:after="80"/>
      </w:pPr>
      <w:r>
        <w:t>5.2 Four supporting messages</w:t>
      </w:r>
    </w:p>
    <w:p>
      <w:pPr>
        <w:spacing w:before="120" w:after="40"/>
      </w:pPr>
      <w:r>
        <w:rPr>
          <w:rFonts w:ascii="Arial" w:hAnsi="Arial"/>
          <w:b/>
          <w:color w:val="0B4A7B"/>
          <w:sz w:val="23"/>
        </w:rPr>
        <w:t>Regulators wrote the spec. We shipped the implementation.</w:t>
      </w:r>
    </w:p>
    <w:p>
      <w:pPr>
        <w:spacing w:after="40"/>
      </w:pPr>
      <w:r>
        <w:rPr>
          <w:sz w:val="20"/>
        </w:rPr>
        <w:t>EU AI Act Article 12 requires "automatic logging integrated into core design" with tamper-evidence — and is silent on the mechanism. SEC Rule 17a-4(f)'s 2023 amendment explicitly recognises an audit-trail alternative that "permits recreation of an original record if altered." RFC 6962 Merkle proofs satisfy both. MMPM ships them per write.</w:t>
      </w:r>
    </w:p>
    <w:p>
      <w:pPr>
        <w:spacing w:after="80"/>
      </w:pPr>
      <w:r>
        <w:rPr>
          <w:rFonts w:ascii="Arial" w:hAnsi="Arial"/>
          <w:b/>
          <w:i/>
          <w:color w:val="555555"/>
          <w:sz w:val="18"/>
        </w:rPr>
        <w:t xml:space="preserve">Pain it answers: </w:t>
      </w:r>
      <w:r>
        <w:rPr>
          <w:rFonts w:ascii="Arial" w:hAnsi="Arial"/>
          <w:i/>
          <w:color w:val="555555"/>
          <w:sz w:val="18"/>
        </w:rPr>
        <w:t>Buyer pain: "my customer's CISO blocks every AI feature pending an audit story."</w:t>
      </w:r>
    </w:p>
    <w:p>
      <w:pPr>
        <w:spacing w:before="120" w:after="40"/>
      </w:pPr>
      <w:r>
        <w:rPr>
          <w:rFonts w:ascii="Arial" w:hAnsi="Arial"/>
          <w:b/>
          <w:color w:val="0B4A7B"/>
          <w:sz w:val="23"/>
        </w:rPr>
        <w:t>OEM the audit trail.</w:t>
      </w:r>
    </w:p>
    <w:p>
      <w:pPr>
        <w:spacing w:after="40"/>
      </w:pPr>
      <w:r>
        <w:rPr>
          <w:sz w:val="20"/>
        </w:rPr>
        <w:t>Embed MMPM as your audit primitive. Your customer's compliance team gets a verifiable proof packet they can validate offline against your published Merkle root. You keep your product pitch; they get the evidence. This is a 30-day procurement, not a 9-month one.</w:t>
      </w:r>
    </w:p>
    <w:p>
      <w:pPr>
        <w:spacing w:after="80"/>
      </w:pPr>
      <w:r>
        <w:rPr>
          <w:rFonts w:ascii="Arial" w:hAnsi="Arial"/>
          <w:b/>
          <w:i/>
          <w:color w:val="555555"/>
          <w:sz w:val="18"/>
        </w:rPr>
        <w:t xml:space="preserve">Pain it answers: </w:t>
      </w:r>
      <w:r>
        <w:rPr>
          <w:rFonts w:ascii="Arial" w:hAnsi="Arial"/>
          <w:i/>
          <w:color w:val="555555"/>
          <w:sz w:val="18"/>
        </w:rPr>
        <w:t>Buyer pain: "I can't add another 9-month vendor to my deal cycle."</w:t>
      </w:r>
    </w:p>
    <w:p>
      <w:pPr>
        <w:spacing w:before="120" w:after="40"/>
      </w:pPr>
      <w:r>
        <w:rPr>
          <w:rFonts w:ascii="Arial" w:hAnsi="Arial"/>
          <w:b/>
          <w:color w:val="0B4A7B"/>
          <w:sz w:val="23"/>
        </w:rPr>
        <w:t>Bolt-on audit later costs 10x. Build-in audit now is one integration.</w:t>
      </w:r>
    </w:p>
    <w:p>
      <w:pPr>
        <w:spacing w:after="40"/>
      </w:pPr>
      <w:r>
        <w:rPr>
          <w:sz w:val="20"/>
        </w:rPr>
        <w:t>Whether the EU Digital Omnibus passes (deferring the deadline to Dec 2027) or fails (Aug 2 2026 holds), the architectural requirement doesn't change. Retrofitting a tamper-evident audit trail into a memory store after launch is structurally harder than starting with one. Pick the right primitive once.</w:t>
      </w:r>
    </w:p>
    <w:p>
      <w:pPr>
        <w:spacing w:after="80"/>
      </w:pPr>
      <w:r>
        <w:rPr>
          <w:rFonts w:ascii="Arial" w:hAnsi="Arial"/>
          <w:b/>
          <w:i/>
          <w:color w:val="555555"/>
          <w:sz w:val="18"/>
        </w:rPr>
        <w:t xml:space="preserve">Pain it answers: </w:t>
      </w:r>
      <w:r>
        <w:rPr>
          <w:rFonts w:ascii="Arial" w:hAnsi="Arial"/>
          <w:i/>
          <w:color w:val="555555"/>
          <w:sz w:val="18"/>
        </w:rPr>
        <w:t>Buyer pain: "I'm not sure how urgent this is — should I wait?"</w:t>
      </w:r>
    </w:p>
    <w:p>
      <w:pPr>
        <w:spacing w:before="120" w:after="40"/>
      </w:pPr>
      <w:r>
        <w:rPr>
          <w:rFonts w:ascii="Arial" w:hAnsi="Arial"/>
          <w:b/>
          <w:color w:val="0B4A7B"/>
          <w:sz w:val="23"/>
        </w:rPr>
        <w:t>Predictive recall + cryptographic proof in one substrate.</w:t>
      </w:r>
    </w:p>
    <w:p>
      <w:pPr>
        <w:spacing w:after="40"/>
      </w:pPr>
      <w:r>
        <w:rPr>
          <w:sz w:val="20"/>
        </w:rPr>
        <w:t>MMPM is not a static log. It is a working memory backend with sub-millisecond recall (0.045ms p50, public benchmark forthcoming) and Markov-arc predictive retrieval. The audit trail is a property of the substrate, not a separate service you have to operate.</w:t>
      </w:r>
    </w:p>
    <w:p>
      <w:pPr>
        <w:spacing w:after="80"/>
      </w:pPr>
      <w:r>
        <w:rPr>
          <w:rFonts w:ascii="Arial" w:hAnsi="Arial"/>
          <w:b/>
          <w:i/>
          <w:color w:val="555555"/>
          <w:sz w:val="18"/>
        </w:rPr>
        <w:t xml:space="preserve">Pain it answers: </w:t>
      </w:r>
      <w:r>
        <w:rPr>
          <w:rFonts w:ascii="Arial" w:hAnsi="Arial"/>
          <w:i/>
          <w:color w:val="555555"/>
          <w:sz w:val="18"/>
        </w:rPr>
        <w:t>Buyer pain: "will adding compliance kill our latency budget?"</w:t>
      </w:r>
    </w:p>
    <w:p>
      <w:pPr>
        <w:pStyle w:val="Heading3"/>
        <w:spacing w:before="200" w:after="80"/>
      </w:pPr>
      <w:r>
        <w:t>5.3 Channel-specific tone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60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Tone</w:t>
            </w:r>
          </w:p>
        </w:tc>
        <w:tc>
          <w:tcPr>
            <w:tcW w:type="dxa" w:w="244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Length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Homepage / landing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Confident, regulatory-anchored, technically precise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&lt;200 words above the fold</w:t>
            </w:r>
          </w:p>
        </w:tc>
      </w:tr>
      <w:tr>
        <w:tc>
          <w:tcPr>
            <w:tcW w:type="dxa" w:w="23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Long-form essays</w:t>
            </w:r>
          </w:p>
        </w:tc>
        <w:tc>
          <w:tcPr>
            <w:tcW w:type="dxa" w:w="46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First-principles + concrete (cite spec text verbatim)</w:t>
            </w:r>
          </w:p>
        </w:tc>
        <w:tc>
          <w:tcPr>
            <w:tcW w:type="dxa" w:w="244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1,200-2,000 words each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LinkedIn ads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Punchy, oppositional, single-point-of-pain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&lt;25 words headline + 10 sub</w:t>
            </w:r>
          </w:p>
        </w:tc>
      </w:tr>
      <w:tr>
        <w:tc>
          <w:tcPr>
            <w:tcW w:type="dxa" w:w="23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Outbound DMs / emails</w:t>
            </w:r>
          </w:p>
        </w:tc>
        <w:tc>
          <w:tcPr>
            <w:tcW w:type="dxa" w:w="46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One sentence of context, one of pain, one of CTA</w:t>
            </w:r>
          </w:p>
        </w:tc>
        <w:tc>
          <w:tcPr>
            <w:tcW w:type="dxa" w:w="244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&lt;60 words total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Latent Space / podcasts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Engineer-to-engineer, demo-driven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Live show pacing</w:t>
            </w:r>
          </w:p>
        </w:tc>
      </w:tr>
      <w:tr>
        <w:tc>
          <w:tcPr>
            <w:tcW w:type="dxa" w:w="23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Compliance newsletters</w:t>
            </w:r>
          </w:p>
        </w:tc>
        <w:tc>
          <w:tcPr>
            <w:tcW w:type="dxa" w:w="46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Regulator-to-vendor, citation-heavy, no marketing language</w:t>
            </w:r>
          </w:p>
        </w:tc>
        <w:tc>
          <w:tcPr>
            <w:tcW w:type="dxa" w:w="244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300-500 words</w:t>
            </w:r>
          </w:p>
        </w:tc>
      </w:tr>
    </w:tbl>
    <w:p>
      <w:r>
        <w:br w:type="page"/>
      </w:r>
    </w:p>
    <w:p>
      <w:pPr>
        <w:pStyle w:val="Heading1"/>
        <w:spacing w:after="160"/>
      </w:pPr>
      <w:r>
        <w:t>6 · Channel Strategy</w:t>
      </w:r>
    </w:p>
    <w:p>
      <w:pPr>
        <w:spacing w:after="160"/>
      </w:pPr>
      <w:r>
        <w:rPr>
          <w:i/>
          <w:color w:val="555555"/>
        </w:rPr>
        <w:t>Three rings, in priority order. Solo founder bandwidth means each ring needs a clear time-box and a kill rule.</w:t>
      </w:r>
    </w:p>
    <w:p>
      <w:pPr>
        <w:pStyle w:val="Heading3"/>
        <w:spacing w:before="80" w:after="80"/>
      </w:pPr>
      <w:r>
        <w:t>6.1 Owned (Ring 1) — must do, low marginal cost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432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What</w:t>
            </w:r>
          </w:p>
        </w:tc>
        <w:tc>
          <w:tcPr>
            <w:tcW w:type="dxa" w:w="144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Cadence</w:t>
            </w:r>
          </w:p>
        </w:tc>
        <w:tc>
          <w:tcPr>
            <w:tcW w:type="dxa" w:w="1152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Homepage + /for-regulated-ai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Reposition hero; build the regulated-AI landing page targeting the wedge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Week 1 (one-shot)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1.5 days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Blog (5 anchor essays)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One per week, weeks 1-5, each addressing one buyer concern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Weekly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1 day each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Public benchmark page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LongMemEval vs Mem0 + free MCP memory; methodology + reproducible script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Week 4 ship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2-3 days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Email list (build during sprint)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Capture from blog + benchmark; weekly digest from week 4</w:t>
            </w:r>
          </w:p>
        </w:tc>
        <w:tc>
          <w:tcPr>
            <w:tcW w:type="dxa" w:w="144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Weekly w4-w8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0.5 day setup, 30 min/week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MCP server demo loop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One-button "Connect to Claude" + first-memory tour (overlap with eng Sprint 2-3)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Built in eng plan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0 marketing-side</w:t>
            </w:r>
          </w:p>
        </w:tc>
      </w:tr>
    </w:tbl>
    <w:p>
      <w:pPr>
        <w:pStyle w:val="Heading3"/>
        <w:spacing w:before="200" w:after="80"/>
      </w:pPr>
      <w:r>
        <w:t>6.2 Earned (Ring 2) — high leverage, time-bound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432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Pitch / placement</w:t>
            </w:r>
          </w:p>
        </w:tc>
        <w:tc>
          <w:tcPr>
            <w:tcW w:type="dxa" w:w="158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1152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Lead time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Latent Space (swyx + Alessio)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Guest essay or podcast slot on "audit trail as primitive"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1.5 days research+pitch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3-4 weeks to land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Risto Uuk / EU AI Act Newsletter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Guest piece: implementation pattern for Article 12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0.5 day to draft outreach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 weeks to land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Lawfare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Op-ed on cryptographic audit trails as Article 12 implementation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 day to draft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3-4 weeks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MLOps Community Slack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Organic post in #infra and #ai-agents linking the benchmark page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30 min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Same week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Hacker News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Show HN: the benchmark + the wedge essay, week 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Coordinate timing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Same day if it sticks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Forrester analyst (FCM Wave Q1)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Briefing on MMPM, push for inclusion in their next vendor landscape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 day to set up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2-3 weeks for the call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VeritasChain SO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Reach out, position as VCP-conformant implementation; ride their IOSCO + FCA visibility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 day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 weeks</w:t>
            </w:r>
          </w:p>
        </w:tc>
      </w:tr>
      <w:tr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Credo AI partnerships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Co-marketing pitch: "Credo enforces; MMPM proves"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 day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4 weeks</w:t>
            </w:r>
          </w:p>
        </w:tc>
      </w:tr>
    </w:tbl>
    <w:p>
      <w:pPr>
        <w:pStyle w:val="Heading3"/>
        <w:spacing w:before="200" w:after="80"/>
      </w:pPr>
      <w:r>
        <w:t>6.3 Paid (Ring 3) — $500-$2k, surgical not broad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Spend</w:t>
            </w:r>
          </w:p>
        </w:tc>
        <w:tc>
          <w:tcPr>
            <w:tcW w:type="dxa" w:w="374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3456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Targeting</w:t>
            </w:r>
          </w:p>
        </w:tc>
        <w:tc>
          <w:tcPr>
            <w:tcW w:type="dxa" w:w="288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Goal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$800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LinkedIn Sponsored Content (16 days, weeks 5-7)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8 job titles × 22 named companies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300-500 clicks to /for-regulated-ai; 30-50 demo requests</w:t>
            </w:r>
          </w:p>
        </w:tc>
      </w:tr>
      <w:tr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$500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Risto Uuk EU AI Act Newsletter sponsorship</w:t>
            </w:r>
          </w:p>
        </w:tc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Compliance-aware EU buyer audience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Article 12 essay placement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$300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AI Engineer World's Fair (June 29-July 2 SF) — informal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Walk-in dinner with 5 named CTOs the week of launch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5 first-meetings</w:t>
            </w:r>
          </w:p>
        </w:tc>
      </w:tr>
      <w:tr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$200</w:t>
            </w:r>
          </w:p>
        </w:tc>
        <w:tc>
          <w:tcPr>
            <w:tcW w:type="dxa" w:w="374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Boosted post on Article 12 / SEC 17a-4 angle</w:t>
            </w:r>
          </w:p>
        </w:tc>
        <w:tc>
          <w:tcPr>
            <w:tcW w:type="dxa" w:w="345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LinkedIn engaged audience</w:t>
            </w:r>
          </w:p>
        </w:tc>
        <w:tc>
          <w:tcPr>
            <w:tcW w:type="dxa" w:w="288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Awareness lift, retargeting pool</w:t>
            </w:r>
          </w:p>
        </w:tc>
      </w:tr>
      <w:tr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$200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Contingency</w:t>
            </w:r>
          </w:p>
        </w:tc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Hold for opportunistic placement</w:t>
            </w:r>
          </w:p>
        </w:tc>
      </w:tr>
    </w:tbl>
    <w:p>
      <w:pPr>
        <w:spacing w:before="80" w:after="80"/>
      </w:pPr>
      <w:r>
        <w:rPr>
          <w:rFonts w:ascii="Arial" w:hAnsi="Arial"/>
          <w:i/>
          <w:color w:val="555555"/>
          <w:sz w:val="20"/>
        </w:rPr>
        <w:t>Total: $2,000 envelope. Can compress to $1,000 by skipping the boosted-post line and the AI Engineer dinner.</w:t>
      </w:r>
    </w:p>
    <w:p>
      <w:r>
        <w:br w:type="page"/>
      </w:r>
    </w:p>
    <w:p>
      <w:pPr>
        <w:pStyle w:val="Heading1"/>
        <w:spacing w:after="160"/>
      </w:pPr>
      <w:r>
        <w:t>7 · Eight-Week Content Calendar</w:t>
      </w:r>
    </w:p>
    <w:p>
      <w:pPr>
        <w:spacing w:after="160"/>
      </w:pPr>
      <w:r>
        <w:rPr>
          <w:i/>
          <w:color w:val="555555"/>
        </w:rPr>
        <w:t>Aligned to engineering Sprint 0 (this week) → Sprint 4 (week 7-8). Marketing leads engineering by ~1 week so demo assets are live when the eng features ship. Each week ends with a single "will-this-actually-work" verification: a real interaction with a real buyer.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W0 · 2026-05-05 — </w:t>
      </w:r>
      <w:r>
        <w:rPr>
          <w:rFonts w:ascii="Arial" w:hAnsi="Arial"/>
          <w:b/>
          <w:sz w:val="22"/>
        </w:rPr>
        <w:t>Sprint setup</w:t>
      </w:r>
    </w:p>
    <w:p>
      <w:pPr>
        <w:pStyle w:val="ListBullet"/>
        <w:spacing w:after="20"/>
      </w:pPr>
      <w:r>
        <w:t>Reposition homepage hero copy (3-line proposal in §3.3) — push to staging.</w:t>
      </w:r>
    </w:p>
    <w:p>
      <w:pPr>
        <w:pStyle w:val="ListBullet"/>
        <w:spacing w:after="20"/>
      </w:pPr>
      <w:r>
        <w:t>Build Sales Navigator list of the 22 named companies × 8 job titles → ~200-300 contacts.</w:t>
      </w:r>
    </w:p>
    <w:p>
      <w:pPr>
        <w:pStyle w:val="ListBullet"/>
        <w:spacing w:after="20"/>
      </w:pPr>
      <w:r>
        <w:t>Set up email capture on homepage + blog (Resend or simple mailto-list).</w:t>
      </w:r>
    </w:p>
    <w:p>
      <w:pPr>
        <w:pStyle w:val="ListBullet"/>
        <w:spacing w:after="20"/>
      </w:pPr>
      <w:r>
        <w:t>VERIFY: send the new hero copy + positioning statement to two named ICP-buyers in your network. Get one sentence of feedback each.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W1 · 2026-05-12 — </w:t>
      </w:r>
      <w:r>
        <w:rPr>
          <w:rFonts w:ascii="Arial" w:hAnsi="Arial"/>
          <w:b/>
          <w:sz w:val="22"/>
        </w:rPr>
        <w:t>Anchor essay 1: "EU AI Act Article 12 — a logging spec, not a logging suggestion"</w:t>
      </w:r>
    </w:p>
    <w:p>
      <w:pPr>
        <w:pStyle w:val="ListBullet"/>
        <w:spacing w:after="20"/>
      </w:pPr>
      <w:r>
        <w:t>Publish 1,500-word essay walking Article 12 line-by-line; show Merkle inclusion proofs as the cleanest implementation.</w:t>
      </w:r>
    </w:p>
    <w:p>
      <w:pPr>
        <w:pStyle w:val="ListBullet"/>
        <w:spacing w:after="20"/>
      </w:pPr>
      <w:r>
        <w:t>Distribute: HN (Tuesday morning), LinkedIn personal post, Latent Space Discord.</w:t>
      </w:r>
    </w:p>
    <w:p>
      <w:pPr>
        <w:pStyle w:val="ListBullet"/>
        <w:spacing w:after="20"/>
      </w:pPr>
      <w:r>
        <w:t>Pitch Risto Uuk for guest-piece slot.</w:t>
      </w:r>
    </w:p>
    <w:p>
      <w:pPr>
        <w:pStyle w:val="ListBullet"/>
        <w:spacing w:after="20"/>
      </w:pPr>
      <w:r>
        <w:t>Build the /for-regulated-ai landing page (use the wedge sentence + 3 supporting messages + named-company social proof or anonymised case shapes).</w:t>
      </w:r>
    </w:p>
    <w:p>
      <w:pPr>
        <w:pStyle w:val="ListBullet"/>
        <w:spacing w:after="20"/>
      </w:pPr>
      <w:r>
        <w:t>VERIFY: at least 200 unique visitors to the essay; 5 newsletter signups.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W2 · 2026-05-19 — </w:t>
      </w:r>
      <w:r>
        <w:rPr>
          <w:rFonts w:ascii="Arial" w:hAnsi="Arial"/>
          <w:b/>
          <w:sz w:val="22"/>
        </w:rPr>
        <w:t>Anchor essay 2: "SEC 17a-4(f)'s audit-trail alternative was written for AI before AI knew it"</w:t>
      </w:r>
    </w:p>
    <w:p>
      <w:pPr>
        <w:pStyle w:val="ListBullet"/>
        <w:spacing w:after="20"/>
      </w:pPr>
      <w:r>
        <w:t>Quote SEC text verbatim; map Merkle leaves to each clause.</w:t>
      </w:r>
    </w:p>
    <w:p>
      <w:pPr>
        <w:pStyle w:val="ListBullet"/>
        <w:spacing w:after="20"/>
      </w:pPr>
      <w:r>
        <w:t>Outbound to 30 named contacts at fintech AI vendors with the essay link + a one-paragraph custom intro.</w:t>
      </w:r>
    </w:p>
    <w:p>
      <w:pPr>
        <w:pStyle w:val="ListBullet"/>
        <w:spacing w:after="20"/>
      </w:pPr>
      <w:r>
        <w:t>Pitch Lawfare op-ed.</w:t>
      </w:r>
    </w:p>
    <w:p>
      <w:pPr>
        <w:pStyle w:val="ListBullet"/>
        <w:spacing w:after="20"/>
      </w:pPr>
      <w:r>
        <w:t>VERIFY: 3 first-meetings booked off the outbound; 1 LinkedIn post crosses 5k views.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W3 · 2026-05-26 — </w:t>
      </w:r>
      <w:r>
        <w:rPr>
          <w:rFonts w:ascii="Arial" w:hAnsi="Arial"/>
          <w:b/>
          <w:sz w:val="22"/>
        </w:rPr>
        <w:t>Anchor essay 3: "Why your AI vendor's SOC 2 is not your customer's audit trail"</w:t>
      </w:r>
    </w:p>
    <w:p>
      <w:pPr>
        <w:pStyle w:val="ListBullet"/>
        <w:spacing w:after="20"/>
      </w:pPr>
      <w:r>
        <w:t>Frontal assault on the Zep SOC 2 narrative; the epistemic difference between vendor-controls and record-integrity.</w:t>
      </w:r>
    </w:p>
    <w:p>
      <w:pPr>
        <w:pStyle w:val="ListBullet"/>
        <w:spacing w:after="20"/>
      </w:pPr>
      <w:r>
        <w:t>Outbound to 30 named contacts at legal-AI + healthcare-AI vendors.</w:t>
      </w:r>
    </w:p>
    <w:p>
      <w:pPr>
        <w:pStyle w:val="ListBullet"/>
        <w:spacing w:after="20"/>
      </w:pPr>
      <w:r>
        <w:t>Pitch Latent Space (swyx) for guest essay or podcast.</w:t>
      </w:r>
    </w:p>
    <w:p>
      <w:pPr>
        <w:pStyle w:val="ListBullet"/>
        <w:spacing w:after="20"/>
      </w:pPr>
      <w:r>
        <w:t>VERIFY: 5 first-meetings booked total; one named ICP company in active eval.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W4 · 2026-06-02 — </w:t>
      </w:r>
      <w:r>
        <w:rPr>
          <w:rFonts w:ascii="Arial" w:hAnsi="Arial"/>
          <w:b/>
          <w:sz w:val="22"/>
        </w:rPr>
        <w:t>Public benchmark drop + essay 4: "OEM the audit trail"</w:t>
      </w:r>
    </w:p>
    <w:p>
      <w:pPr>
        <w:pStyle w:val="ListBullet"/>
        <w:spacing w:after="20"/>
      </w:pPr>
      <w:r>
        <w:t>Ship the LongMemEval benchmark page (vs Mem0 + free MCP memory). Publish methodology + reproducible script.</w:t>
      </w:r>
    </w:p>
    <w:p>
      <w:pPr>
        <w:pStyle w:val="ListBullet"/>
        <w:spacing w:after="20"/>
      </w:pPr>
      <w:r>
        <w:t>Coordinated launch: HN "Show HN", LinkedIn, MLOps Slack, MCP Discord.</w:t>
      </w:r>
    </w:p>
    <w:p>
      <w:pPr>
        <w:pStyle w:val="ListBullet"/>
        <w:spacing w:after="20"/>
      </w:pPr>
      <w:r>
        <w:t>Begin LinkedIn paid campaign ($800 over 16 days, audience: 8 titles × 22 companies).</w:t>
      </w:r>
    </w:p>
    <w:p>
      <w:pPr>
        <w:pStyle w:val="ListBullet"/>
        <w:spacing w:after="20"/>
      </w:pPr>
      <w:r>
        <w:t>VERIFY: HN front page or 100+ upvotes; benchmark page in top 3 LongMemEval search results within 7 days.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W5 · 2026-06-09 — </w:t>
      </w:r>
      <w:r>
        <w:rPr>
          <w:rFonts w:ascii="Arial" w:hAnsi="Arial"/>
          <w:b/>
          <w:sz w:val="22"/>
        </w:rPr>
        <w:t>Essay 5: "Memory that survives discovery" (legal-AI specific)</w:t>
      </w:r>
    </w:p>
    <w:p>
      <w:pPr>
        <w:pStyle w:val="ListBullet"/>
        <w:spacing w:after="20"/>
      </w:pPr>
      <w:r>
        <w:t>Privilege, e-discovery, agentic legal work — pitched directly at Spellbook / EvenUp / Eve / GC AI / Ironclad.</w:t>
      </w:r>
    </w:p>
    <w:p>
      <w:pPr>
        <w:pStyle w:val="ListBullet"/>
        <w:spacing w:after="20"/>
      </w:pPr>
      <w:r>
        <w:t>Cold-outbound 30 contacts at legal-AI vendors with the essay + sample Merkle proof packet.</w:t>
      </w:r>
    </w:p>
    <w:p>
      <w:pPr>
        <w:pStyle w:val="ListBullet"/>
        <w:spacing w:after="20"/>
      </w:pPr>
      <w:r>
        <w:t>VeritasChain SO outreach: position as VCP v1.1 conformant implementation.</w:t>
      </w:r>
    </w:p>
    <w:p>
      <w:pPr>
        <w:pStyle w:val="ListBullet"/>
        <w:spacing w:after="20"/>
      </w:pPr>
      <w:r>
        <w:t>VERIFY: 8 first-meetings booked total; 2 in active eval.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W6 · 2026-06-16 — </w:t>
      </w:r>
      <w:r>
        <w:rPr>
          <w:rFonts w:ascii="Arial" w:hAnsi="Arial"/>
          <w:b/>
          <w:sz w:val="22"/>
        </w:rPr>
        <w:t>Sales acceleration + Hacker News moment</w:t>
      </w:r>
    </w:p>
    <w:p>
      <w:pPr>
        <w:pStyle w:val="ListBullet"/>
        <w:spacing w:after="20"/>
      </w:pPr>
      <w:r>
        <w:t>Coordinated HN launch: the wedge essay + the benchmark + the 5-essay arc as a single "we built this" narrative.</w:t>
      </w:r>
    </w:p>
    <w:p>
      <w:pPr>
        <w:pStyle w:val="ListBullet"/>
        <w:spacing w:after="20"/>
      </w:pPr>
      <w:r>
        <w:t>ProductHunt launch (low-effort, but free amplification).</w:t>
      </w:r>
    </w:p>
    <w:p>
      <w:pPr>
        <w:pStyle w:val="ListBullet"/>
        <w:spacing w:after="20"/>
      </w:pPr>
      <w:r>
        <w:t>3 podcast pitches (Latent Space, AI Today in 5, MLOps Community).</w:t>
      </w:r>
    </w:p>
    <w:p>
      <w:pPr>
        <w:pStyle w:val="ListBullet"/>
        <w:spacing w:after="20"/>
      </w:pPr>
      <w:r>
        <w:t>Risto Uuk newsletter sponsorship runs.</w:t>
      </w:r>
    </w:p>
    <w:p>
      <w:pPr>
        <w:pStyle w:val="ListBullet"/>
        <w:spacing w:after="20"/>
      </w:pPr>
      <w:r>
        <w:t>VERIFY: 1 named company in security-questionnaire / paid pilot stage.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W7 · 2026-06-23 — </w:t>
      </w:r>
      <w:r>
        <w:rPr>
          <w:rFonts w:ascii="Arial" w:hAnsi="Arial"/>
          <w:b/>
          <w:sz w:val="22"/>
        </w:rPr>
        <w:t>Pre-launch dress rehearsal</w:t>
      </w:r>
    </w:p>
    <w:p>
      <w:pPr>
        <w:pStyle w:val="ListBullet"/>
        <w:spacing w:after="20"/>
      </w:pPr>
      <w:r>
        <w:t>Final landing-page copy review; add one anonymised customer narrative if any pilot booked.</w:t>
      </w:r>
    </w:p>
    <w:p>
      <w:pPr>
        <w:pStyle w:val="ListBullet"/>
        <w:spacing w:after="20"/>
      </w:pPr>
      <w:r>
        <w:t>Stage the AI Engineer World's Fair dinner (June 29-July 2 SF). Invite 5-8 named-company CTOs.</w:t>
      </w:r>
    </w:p>
    <w:p>
      <w:pPr>
        <w:pStyle w:val="ListBullet"/>
        <w:spacing w:after="20"/>
      </w:pPr>
      <w:r>
        <w:t>Draft launch-day Twitter thread + LinkedIn post + HN submission.</w:t>
      </w:r>
    </w:p>
    <w:p>
      <w:pPr>
        <w:pStyle w:val="ListBullet"/>
        <w:spacing w:after="20"/>
      </w:pPr>
      <w:r>
        <w:t>VERIFY: launch day collateral pre-staged in a single doc; can be shipped at the chosen moment in &lt;30 min.</w:t>
      </w:r>
    </w:p>
    <w:p>
      <w:pPr>
        <w:spacing w:before="120" w:after="40"/>
      </w:pPr>
      <w:r>
        <w:rPr>
          <w:rFonts w:ascii="Arial" w:hAnsi="Arial"/>
          <w:b/>
          <w:color w:val="0B4A7B"/>
          <w:sz w:val="22"/>
        </w:rPr>
        <w:t xml:space="preserve">W8 · 2026-06-28 → 2026-07-05 — </w:t>
      </w:r>
      <w:r>
        <w:rPr>
          <w:rFonts w:ascii="Arial" w:hAnsi="Arial"/>
          <w:b/>
          <w:sz w:val="22"/>
        </w:rPr>
        <w:t>LAUNCH WEEK + AI Engineer World's Fair (June 29-July 2)</w:t>
      </w:r>
    </w:p>
    <w:p>
      <w:pPr>
        <w:pStyle w:val="ListBullet"/>
        <w:spacing w:after="20"/>
      </w:pPr>
      <w:r>
        <w:t>Public launch on a Monday or Tuesday morning (Sydney lunchtime = US east coast morning).</w:t>
      </w:r>
    </w:p>
    <w:p>
      <w:pPr>
        <w:pStyle w:val="ListBullet"/>
        <w:spacing w:after="20"/>
      </w:pPr>
      <w:r>
        <w:t>AI Engineer World's Fair the next day: walk-in, dinner with 5 named CTOs, hand-delivered ASCII-art Merkle proof.</w:t>
      </w:r>
    </w:p>
    <w:p>
      <w:pPr>
        <w:pStyle w:val="ListBullet"/>
        <w:spacing w:after="20"/>
      </w:pPr>
      <w:r>
        <w:t>First-week status update on day 5: a public post-launch retro (numbers, learnings, what shipped).</w:t>
      </w:r>
    </w:p>
    <w:p>
      <w:pPr>
        <w:pStyle w:val="ListBullet"/>
        <w:spacing w:after="20"/>
      </w:pPr>
      <w:r>
        <w:t>VERIFY: 2 named companies in paid pilot; 1 podcast appearance booked; benchmark page indexed and ranking.</w:t>
      </w:r>
    </w:p>
    <w:p>
      <w:r>
        <w:br w:type="page"/>
      </w:r>
    </w:p>
    <w:p>
      <w:pPr>
        <w:pStyle w:val="Heading1"/>
        <w:spacing w:after="160"/>
      </w:pPr>
      <w:r>
        <w:t>8 · Content Assets Needed</w:t>
      </w:r>
    </w:p>
    <w:p>
      <w:pPr>
        <w:spacing w:after="120"/>
      </w:pPr>
      <w:r>
        <w:rPr>
          <w:i/>
          <w:color w:val="555555"/>
        </w:rPr>
        <w:t>Every asset listed here is on the calendar. This table is the production inventory.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0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1584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1152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80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Owner / due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Repositioned homepage hero (H1+H2+CTA)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Web copy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0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/for-regulated-ai landing page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Web page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1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Essay 1: Article 12 implementation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Blog 1.5k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1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Essay 2: SEC 17a-4(f)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Blog 1.5k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2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Essay 3: SOC 2 vs audit trail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Blog 1.2k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3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LongMemEval benchmark page + script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Tech asset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4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Essay 4: OEM the audit trail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Blog 1.5k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4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Essay 5: Memory that survives discovery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Blog 1.5k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5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LinkedIn ad creative pack (3 variants)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Ad copy/img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4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DM/email templates (5 variants)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Sales copy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1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Sample compliance proof packet (PDF + JSON)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Sales asset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3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Demo loop — Connect-to-Claude + first memory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Product UX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Eng Sprint 2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Launch-day thread / post / HN submission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Launch copy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Must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7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Customer narrative (anonymised pilot)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Case study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Nice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7 if any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Comparison page — MMPM vs Zep vs Mem0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Web page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Nice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6</w:t>
            </w:r>
          </w:p>
        </w:tc>
      </w:tr>
      <w:tr>
        <w:tc>
          <w:tcPr>
            <w:tcW w:type="dxa" w:w="50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FAQ for compliance buyers</w:t>
            </w:r>
          </w:p>
        </w:tc>
        <w:tc>
          <w:tcPr>
            <w:tcW w:type="dxa" w:w="1584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Web page</w:t>
            </w:r>
          </w:p>
        </w:tc>
        <w:tc>
          <w:tcPr>
            <w:tcW w:type="dxa" w:w="115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Nice</w:t>
            </w:r>
          </w:p>
        </w:tc>
        <w:tc>
          <w:tcPr>
            <w:tcW w:type="dxa" w:w="180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5</w:t>
            </w:r>
          </w:p>
        </w:tc>
      </w:tr>
      <w:tr>
        <w:tc>
          <w:tcPr>
            <w:tcW w:type="dxa" w:w="5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One-pager PDF for outbound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PDF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Nice</w:t>
            </w:r>
          </w:p>
        </w:tc>
        <w:tc>
          <w:tcPr>
            <w:tcW w:type="dxa" w:w="18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Week 3</w:t>
            </w:r>
          </w:p>
        </w:tc>
      </w:tr>
    </w:tbl>
    <w:p>
      <w:pPr>
        <w:pStyle w:val="Heading1"/>
        <w:spacing w:before="280" w:after="160"/>
      </w:pPr>
      <w:r>
        <w:t>9 · Measurement &amp; Tests</w:t>
      </w:r>
    </w:p>
    <w:p>
      <w:pPr>
        <w:spacing w:after="160"/>
      </w:pPr>
      <w:r>
        <w:rPr>
          <w:i/>
          <w:color w:val="555555"/>
        </w:rPr>
        <w:t>"We write tests for everything we make" — applies to marketing too. Every claim, channel, and creative gets a measurable hypothesis. Targets are intentionally aggressive but realistic for an 8-week solo-founder sprint with $2k spend.</w:t>
      </w:r>
    </w:p>
    <w:p>
      <w:pPr>
        <w:pStyle w:val="Heading3"/>
        <w:spacing w:before="80" w:after="80"/>
      </w:pPr>
      <w:r>
        <w:t>9.1 Five primary KPIs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16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 by 2026-06-28</w:t>
            </w:r>
          </w:p>
        </w:tc>
        <w:tc>
          <w:tcPr>
            <w:tcW w:type="dxa" w:w="1872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How tracked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First meetings booked with named-ICP buyers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12-15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CRM tag (Notion / sheet); manual</w:t>
            </w:r>
          </w:p>
        </w:tc>
      </w:tr>
      <w:tr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Active pilots / security questionnaires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2-3</w:t>
            </w:r>
          </w:p>
        </w:tc>
        <w:tc>
          <w:tcPr>
            <w:tcW w:type="dxa" w:w="187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Manual log per buyer conversation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Newsletter signups (compliance-buyer captured)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250-400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Email list + form provenance</w:t>
            </w:r>
          </w:p>
        </w:tc>
      </w:tr>
      <w:tr>
        <w:tc>
          <w:tcPr>
            <w:tcW w:type="dxa" w:w="4320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Anchor-essay traffic (5 essays combined)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8,000-12,000 unique visitors</w:t>
            </w:r>
          </w:p>
        </w:tc>
        <w:tc>
          <w:tcPr>
            <w:tcW w:type="dxa" w:w="1872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Plausible / GA4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Inbound from organic (HN, LinkedIn, podcasts)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≥40% of demo requests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20"/>
              </w:rPr>
              <w:t>UTM + referrer + ask-on-call</w:t>
            </w:r>
          </w:p>
        </w:tc>
      </w:tr>
    </w:tbl>
    <w:p>
      <w:pPr>
        <w:pStyle w:val="Heading3"/>
        <w:spacing w:before="240" w:after="80"/>
      </w:pPr>
      <w:r>
        <w:t>9.2 Five secondary KPIs (channel diagnostics)</w:t>
      </w:r>
    </w:p>
    <w:p>
      <w:pPr>
        <w:pStyle w:val="ListBullet"/>
        <w:spacing w:after="40"/>
      </w:pPr>
      <w:r>
        <w:t>LinkedIn ad CTR ≥ 1.2% (B2B technical SaaS norm 0.6-0.8%; the named-account targeting should beat).</w:t>
      </w:r>
    </w:p>
    <w:p>
      <w:pPr>
        <w:pStyle w:val="ListBullet"/>
        <w:spacing w:after="40"/>
      </w:pPr>
      <w:r>
        <w:t>LinkedIn ad CPL ≤ $40 to landing-page lead capture; kill the ad if CPL &gt; $80 after $200 spent.</w:t>
      </w:r>
    </w:p>
    <w:p>
      <w:pPr>
        <w:pStyle w:val="ListBullet"/>
        <w:spacing w:after="40"/>
      </w:pPr>
      <w:r>
        <w:t>Benchmark page → demo-request conversion ≥ 3% (industry ~1-2% for technical content).</w:t>
      </w:r>
    </w:p>
    <w:p>
      <w:pPr>
        <w:pStyle w:val="ListBullet"/>
        <w:spacing w:after="40"/>
      </w:pPr>
      <w:r>
        <w:t>Outbound DM reply rate ≥ 8% (named-account, custom intro paragraph; cold sequence 2-4% baseline).</w:t>
      </w:r>
    </w:p>
    <w:p>
      <w:pPr>
        <w:pStyle w:val="ListBullet"/>
        <w:spacing w:after="40"/>
      </w:pPr>
      <w:r>
        <w:t>Newsletter sponsorship → signup rate ≥ 1.5% of opens (compliance-newsletter is high-intent).</w:t>
      </w:r>
    </w:p>
    <w:p>
      <w:pPr>
        <w:pStyle w:val="Heading3"/>
        <w:spacing w:before="240" w:after="80"/>
      </w:pPr>
      <w:r>
        <w:t>9.3 A/B tests planned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Surface</w:t>
            </w:r>
          </w:p>
        </w:tc>
        <w:tc>
          <w:tcPr>
            <w:tcW w:type="dxa" w:w="316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</w:t>
            </w:r>
          </w:p>
        </w:tc>
        <w:tc>
          <w:tcPr>
            <w:tcW w:type="dxa" w:w="316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B</w:t>
            </w:r>
          </w:p>
        </w:tc>
        <w:tc>
          <w:tcPr>
            <w:tcW w:type="dxa" w:w="244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Decision rule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Homepage H1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"Verifiable memory for AI…"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"Memory your auditor can verify…"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Higher /for-regulated-ai click-through after 2 weeks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LinkedIn ad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Article 12 deadline countdown variant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"OEM the audit trail" benefit variant</w:t>
            </w:r>
          </w:p>
        </w:tc>
        <w:tc>
          <w:tcPr>
            <w:tcW w:type="dxa" w:w="244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Lower CPL after $400 spent each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CTA copy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"Show me a proof"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"Talk to engineering"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Higher demo-request submit rate</w:t>
            </w:r>
          </w:p>
        </w:tc>
      </w:tr>
      <w:tr>
        <w:tc>
          <w:tcPr>
            <w:tcW w:type="dxa" w:w="2016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Outbound DM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Lead with Article 12</w:t>
            </w:r>
          </w:p>
        </w:tc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Lead with the buyer's named customer pain</w:t>
            </w:r>
          </w:p>
        </w:tc>
        <w:tc>
          <w:tcPr>
            <w:tcW w:type="dxa" w:w="244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8"/>
              </w:rPr>
              <w:t>Higher reply rate after 30 sends each</w:t>
            </w:r>
          </w:p>
        </w:tc>
      </w:tr>
    </w:tbl>
    <w:p>
      <w:pPr>
        <w:pStyle w:val="Heading3"/>
        <w:spacing w:before="240" w:after="80"/>
      </w:pPr>
      <w:r>
        <w:t>9.4 Kill switches</w:t>
      </w:r>
    </w:p>
    <w:p>
      <w:pPr>
        <w:pStyle w:val="ListBullet"/>
        <w:spacing w:after="40"/>
      </w:pPr>
      <w:r>
        <w:t>Pause LinkedIn paid if CPL &gt; $80 after $200 spent. Reallocate to newsletter sponsorship.</w:t>
      </w:r>
    </w:p>
    <w:p>
      <w:pPr>
        <w:pStyle w:val="ListBullet"/>
        <w:spacing w:after="40"/>
      </w:pPr>
      <w:r>
        <w:t>If benchmark page does not crack HN front page in week 4, pivot launch-day strategy from "Show HN" to "compliance-newsletter coordinated drop" (warmer audience, better intent).</w:t>
      </w:r>
    </w:p>
    <w:p>
      <w:pPr>
        <w:pStyle w:val="ListBullet"/>
        <w:spacing w:after="40"/>
      </w:pPr>
      <w:r>
        <w:t>If by week 6 zero named-company pilots are booked, pause outbound to legal-AI and triple down on healthcare-AI (fewer companies, more urgent regulatory pressure under Akerman HRx 2026 update).</w:t>
      </w:r>
    </w:p>
    <w:p>
      <w:pPr>
        <w:pStyle w:val="ListBullet"/>
        <w:spacing w:after="40"/>
      </w:pPr>
      <w:r>
        <w:t>If founder marketing-time exceeds 15 hrs/week, drop Essay 5 and one outbound batch — protect engineering Sprint 3 (multi-substrate bundle) and Sprint 4 (polish).</w:t>
      </w:r>
    </w:p>
    <w:p>
      <w:r>
        <w:br w:type="page"/>
      </w:r>
    </w:p>
    <w:p>
      <w:pPr>
        <w:pStyle w:val="Heading1"/>
        <w:spacing w:after="160"/>
      </w:pPr>
      <w:r>
        <w:t>10 · Risks &amp; Mitigations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532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  <w:tc>
          <w:tcPr>
            <w:tcW w:type="dxa" w:w="1008"/>
            <w:shd w:val="clear" w:color="auto" w:fill="0B4A7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Likelihood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Digital Omnibus passes May 13 trilogue → buyer urgency drops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Article 12 architectural requirement is unchanged; Merkle is still the cleanest implementation. Pivot copy from "60-day countdown" to "build-in vs bolt-on" within 24 hrs of the May 13 outcome. Pre-draft both versions of the homepage now.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Medium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LongMemEval benchmark unfavourable — MMPM trails Mem0 on accuracy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Run the benchmark on a staging branch BEFORE committing to the public drop. If MMPM is within 5% of Mem0, publish with the audit-trail framing as the differentiator. If MMPM is meaningfully behind, publish a narrower benchmark (e.g., latency only, or specific knowledge-graph traversal queries) where MMPM wins. Do NOT publish a losing benchmark.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Medium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Single anchor essay goes viral with the wrong takeaway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Pre-write the response post for the most likely critique ("Merkle proofs solve a problem nobody has"). Engagement with critics is a free distribution channel if handled well — set a same-day response window and do not write the rebuttal at midnight.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Low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Founder bandwidth cracks in week 4-5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Calendar block 3 hours/day, 5 days/week for marketing during the sprint. Pre-write Week 4-5 essays in Week 0-1 if possible. Use the Claude-as-implementation-partner pattern from the engineering plan for marketing too — draft → critique → revise loop, not blank-page-every-week.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High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Outbound DMs flagged as spam by LinkedIn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Stay under 50 connection requests/week with personal intros. No automation tools. No identical copy across 20+ DMs. Each DM references one specific thing about the recipient's company.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Low</w:t>
            </w:r>
          </w:p>
        </w:tc>
      </w:tr>
      <w:tr>
        <w:tc>
          <w:tcPr>
            <w:tcW w:type="dxa" w:w="316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VeritasChain or Credo AI partnership pitch declined</w:t>
            </w:r>
          </w:p>
        </w:tc>
        <w:tc>
          <w:tcPr>
            <w:tcW w:type="dxa" w:w="532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These are accelerants, not blockers. Sprint plan does not depend on them. If both decline, the IOSCO TechSprint / FCA AI Lab visibility angle becomes a Q3 push instead of a launch-window push.</w:t>
            </w:r>
          </w:p>
        </w:tc>
        <w:tc>
          <w:tcPr>
            <w:tcW w:type="dxa" w:w="1008"/>
            <w:shd w:val="clear" w:color="auto"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Low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Direct competitor (Zep, Mem0) ships a "verifiable memory" feature in May/June</w:t>
            </w:r>
          </w:p>
        </w:tc>
        <w:tc>
          <w:tcPr>
            <w:tcW w:type="dxa" w:w="53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Their fastest credible response is a SOC-2-stamped audit log, not a Merkle-proven one. Reposition to "the only memory product where the proof is for the record itself, not the vendor's controls." Pre-draft the comparison-page response in Week 2.</w:t>
            </w:r>
          </w:p>
        </w:tc>
        <w:tc>
          <w:tcPr>
            <w:tcW w:type="dxa" w:w="10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sz w:val="19"/>
              </w:rPr>
              <w:t>Medium</w:t>
            </w:r>
          </w:p>
        </w:tc>
      </w:tr>
    </w:tbl>
    <w:p>
      <w:pPr>
        <w:pStyle w:val="Heading1"/>
        <w:spacing w:before="280" w:after="160"/>
      </w:pPr>
      <w:r>
        <w:t>11 · Week-1 Action List (do these in order)</w:t>
      </w:r>
    </w:p>
    <w:p>
      <w:pPr>
        <w:spacing w:after="120"/>
      </w:pPr>
      <w:r>
        <w:rPr>
          <w:i/>
          <w:color w:val="555555"/>
        </w:rPr>
        <w:t>Sequenced from highest-leverage to lowest, with effort estimates. If you only do the first five, the sprint still ships its highest-value asset (the wedge live on the homepage).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Lock the wedge sentence and the H1/H2/CTA in §3.3 — this is the headline of every other asset.</w:t>
      </w:r>
      <w:r>
        <w:rPr>
          <w:rFonts w:ascii="Arial" w:hAnsi="Arial"/>
          <w:i/>
          <w:color w:val="555555"/>
          <w:sz w:val="19"/>
        </w:rPr>
        <w:t xml:space="preserve">   (1 hr)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Push new homepage hero to staging behind a flag; have one named-ICP friend review the copy.</w:t>
      </w:r>
      <w:r>
        <w:rPr>
          <w:rFonts w:ascii="Arial" w:hAnsi="Arial"/>
          <w:i/>
          <w:color w:val="555555"/>
          <w:sz w:val="19"/>
        </w:rPr>
        <w:t xml:space="preserve">   (2 hrs)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Build the /for-regulated-ai landing page (the named-22-company social proof block can be anonymised shapes).</w:t>
      </w:r>
      <w:r>
        <w:rPr>
          <w:rFonts w:ascii="Arial" w:hAnsi="Arial"/>
          <w:i/>
          <w:color w:val="555555"/>
          <w:sz w:val="19"/>
        </w:rPr>
        <w:t xml:space="preserve">   (1 day)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Build the Sales Navigator list (22 companies × 8 job titles → 200-300 contacts, exported).</w:t>
      </w:r>
      <w:r>
        <w:rPr>
          <w:rFonts w:ascii="Arial" w:hAnsi="Arial"/>
          <w:i/>
          <w:color w:val="555555"/>
          <w:sz w:val="19"/>
        </w:rPr>
        <w:t xml:space="preserve">   (2-3 hrs)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Draft and publish Essay 1 (Article 12 implementation pattern). Schedule HN drop for Tue morning.</w:t>
      </w:r>
      <w:r>
        <w:rPr>
          <w:rFonts w:ascii="Arial" w:hAnsi="Arial"/>
          <w:i/>
          <w:color w:val="555555"/>
          <w:sz w:val="19"/>
        </w:rPr>
        <w:t xml:space="preserve">   (1 day)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Set up email capture + a 5-step automated welcome sequence (Resend / SendGrid / similar).</w:t>
      </w:r>
      <w:r>
        <w:rPr>
          <w:rFonts w:ascii="Arial" w:hAnsi="Arial"/>
          <w:i/>
          <w:color w:val="555555"/>
          <w:sz w:val="19"/>
        </w:rPr>
        <w:t xml:space="preserve">   (0.5 day)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Pre-draft both versions of the homepage / hero copy for both Omnibus outcomes (May 13 trilogue).</w:t>
      </w:r>
      <w:r>
        <w:rPr>
          <w:rFonts w:ascii="Arial" w:hAnsi="Arial"/>
          <w:i/>
          <w:color w:val="555555"/>
          <w:sz w:val="19"/>
        </w:rPr>
        <w:t xml:space="preserve">   (2 hrs)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Stage the LinkedIn ad campaign (creative B "Article 12 countdown"); do not launch yet.</w:t>
      </w:r>
      <w:r>
        <w:rPr>
          <w:rFonts w:ascii="Arial" w:hAnsi="Arial"/>
          <w:i/>
          <w:color w:val="555555"/>
          <w:sz w:val="19"/>
        </w:rPr>
        <w:t xml:space="preserve">   (0.5 day)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Reach out to Risto Uuk and one Latent Space contact for guest-essay or podcast slots.</w:t>
      </w:r>
      <w:r>
        <w:rPr>
          <w:rFonts w:ascii="Arial" w:hAnsi="Arial"/>
          <w:i/>
          <w:color w:val="555555"/>
          <w:sz w:val="19"/>
        </w:rPr>
        <w:t xml:space="preserve">   (1 hr)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Calendar-block 3 hrs/day × 5 days for marketing for the next 8 weeks. Defend it.</w:t>
      </w:r>
      <w:r>
        <w:rPr>
          <w:rFonts w:ascii="Arial" w:hAnsi="Arial"/>
          <w:i/>
          <w:color w:val="555555"/>
          <w:sz w:val="19"/>
        </w:rPr>
        <w:t xml:space="preserve">   (5 min)</w:t>
      </w:r>
    </w:p>
    <w:p>
      <w:pPr>
        <w:pStyle w:val="Heading1"/>
        <w:spacing w:before="280" w:after="80"/>
      </w:pPr>
      <w:r>
        <w:t>12 · Sources &amp; Methodology</w:t>
      </w:r>
    </w:p>
    <w:p>
      <w:pPr>
        <w:spacing w:before="80" w:after="80"/>
      </w:pPr>
      <w:r>
        <w:rPr>
          <w:b/>
          <w:sz w:val="22"/>
        </w:rPr>
        <w:t>Regulatory references:</w:t>
      </w:r>
    </w:p>
    <w:p>
      <w:pPr>
        <w:pStyle w:val="ListBullet"/>
        <w:spacing w:after="40"/>
      </w:pPr>
      <w:r>
        <w:t>EU AI Act Article 12 (logging) — text at artificialintelligenceact.eu/article/12/</w:t>
      </w:r>
    </w:p>
    <w:p>
      <w:pPr>
        <w:pStyle w:val="ListBullet"/>
        <w:spacing w:after="40"/>
      </w:pPr>
      <w:r>
        <w:t>EU Digital Omnibus on AI (proposed 2025-11-19; deferral to 2027-12-02; trilogue ongoing — third trilogue 2026-05-13)</w:t>
      </w:r>
    </w:p>
    <w:p>
      <w:pPr>
        <w:pStyle w:val="ListBullet"/>
        <w:spacing w:after="40"/>
      </w:pPr>
      <w:r>
        <w:t>EU AI Act Newsletter (Risto Uuk, Substack) — primary source for Omnibus tracking</w:t>
      </w:r>
    </w:p>
    <w:p>
      <w:pPr>
        <w:pStyle w:val="ListBullet"/>
        <w:spacing w:after="40"/>
      </w:pPr>
      <w:r>
        <w:t>SEC Rule 17a-4(f) — 2023 amendment with audit-trail alternative; sec.gov amendments-electronic-recordkeeping</w:t>
      </w:r>
    </w:p>
    <w:p>
      <w:pPr>
        <w:pStyle w:val="ListBullet"/>
        <w:spacing w:after="40"/>
      </w:pPr>
      <w:r>
        <w:t>VeritasChain VCP v1.1 — RFC 6962 + Ed25519 implementation pattern (open standard, non-commercial)</w:t>
      </w:r>
    </w:p>
    <w:p>
      <w:pPr>
        <w:pStyle w:val="ListBullet"/>
        <w:spacing w:after="40"/>
      </w:pPr>
      <w:r>
        <w:t>Help Net Security — "Article 12 logging requirements" 2026-04-16</w:t>
      </w:r>
    </w:p>
    <w:p>
      <w:pPr>
        <w:spacing w:before="160" w:after="80"/>
      </w:pPr>
      <w:r>
        <w:rPr>
          <w:b/>
          <w:sz w:val="22"/>
        </w:rPr>
        <w:t>Competitive landscape:</w:t>
      </w:r>
    </w:p>
    <w:p>
      <w:pPr>
        <w:pStyle w:val="ListBullet"/>
        <w:spacing w:after="40"/>
      </w:pPr>
      <w:r>
        <w:t>Zep enterprise pricing &amp; SOC 2 II positioning — getzep.com/pricing</w:t>
      </w:r>
    </w:p>
    <w:p>
      <w:pPr>
        <w:pStyle w:val="ListBullet"/>
        <w:spacing w:after="40"/>
      </w:pPr>
      <w:r>
        <w:t>Credo AI product layer — credo.ai/product</w:t>
      </w:r>
    </w:p>
    <w:p>
      <w:pPr>
        <w:pStyle w:val="ListBullet"/>
        <w:spacing w:after="40"/>
      </w:pPr>
      <w:r>
        <w:t>Mem0 / Letta / Cognee — developer-tier comparison</w:t>
      </w:r>
    </w:p>
    <w:p>
      <w:pPr>
        <w:pStyle w:val="ListBullet"/>
        <w:spacing w:after="40"/>
      </w:pPr>
      <w:r>
        <w:t>Latent Space — primary AI-engineer audience</w:t>
      </w:r>
    </w:p>
    <w:p>
      <w:pPr>
        <w:spacing w:before="160" w:after="80"/>
      </w:pPr>
      <w:r>
        <w:rPr>
          <w:b/>
          <w:sz w:val="22"/>
        </w:rPr>
        <w:t>Method:</w:t>
      </w:r>
    </w:p>
    <w:p>
      <w:pPr>
        <w:pStyle w:val="ListBullet"/>
        <w:spacing w:after="40"/>
      </w:pPr>
      <w:r>
        <w:t>Inputs: previous premortem report, locked sprint plan v2, locked tiers.ts, May 2026 ICP research pass.</w:t>
      </w:r>
    </w:p>
    <w:p>
      <w:pPr>
        <w:pStyle w:val="ListBullet"/>
        <w:spacing w:after="40"/>
      </w:pPr>
      <w:r>
        <w:t>ICP shortlist generated by web research subagent against Series A-C AI vendors in regulated verticals; cross-referenced against Forrester FCM Wave Q1 2026, Crunchbase, recent funding announcements.</w:t>
      </w:r>
    </w:p>
    <w:p>
      <w:pPr>
        <w:pStyle w:val="ListBullet"/>
        <w:spacing w:after="40"/>
      </w:pPr>
      <w:r>
        <w:t>Channel mix sized to a $500-$2k budget envelope and a solo founder marketing capacity ceiling of ~15 hrs/week.</w:t>
      </w:r>
    </w:p>
    <w:p>
      <w:pPr>
        <w:pStyle w:val="ListBullet"/>
        <w:spacing w:after="40"/>
      </w:pPr>
      <w:r>
        <w:t>All claims and benchmark assumptions are pre-launch hypotheses — KPI targets are calibrated against B2B-SaaS norms, not measured. The kill-switches in §9.4 exist precisely because targets may not hold.</w:t>
      </w:r>
    </w:p>
    <w:p>
      <w:pPr>
        <w:spacing w:before="400"/>
        <w:jc w:val="center"/>
      </w:pPr>
      <w:r>
        <w:rPr>
          <w:i/>
          <w:color w:val="555555"/>
          <w:sz w:val="18"/>
        </w:rPr>
        <w:t>End of marketing sprint · 2026-05-04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4A7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4A7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