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left"/>
      </w:pPr>
      <w:r>
        <w:rPr>
          <w:b/>
          <w:color w:val="0B4A7B"/>
          <w:sz w:val="48"/>
        </w:rPr>
        <w:t>MMPM SaaS — PRE-LAUNCH PREMORTEM</w:t>
      </w:r>
    </w:p>
    <w:p>
      <w:pPr>
        <w:spacing w:after="400"/>
      </w:pPr>
      <w:r>
        <w:rPr>
          <w:i/>
          <w:color w:val="555555"/>
          <w:sz w:val="24"/>
        </w:rPr>
        <w:t>Imagining the launch has already failed — and reverse-engineering why before it does.</w:t>
      </w:r>
    </w:p>
    <w:p>
      <w:pPr>
        <w:pBdr>
          <w:bottom w:val="single" w:sz="8" w:space="1" w:color="0B4A7B"/>
        </w:pBdr>
      </w:pPr>
    </w:p>
    <w:p>
      <w:pPr>
        <w:spacing w:after="40"/>
      </w:pPr>
      <w:r>
        <w:rPr>
          <w:rFonts w:ascii="Arial" w:hAnsi="Arial"/>
          <w:b/>
          <w:color w:val="555555"/>
          <w:sz w:val="20"/>
        </w:rPr>
        <w:t xml:space="preserve">Product:        </w:t>
      </w:r>
      <w:r>
        <w:rPr>
          <w:rFonts w:ascii="Arial" w:hAnsi="Arial"/>
          <w:sz w:val="20"/>
        </w:rPr>
        <w:t>Parametric Memory (MMPM) — verifiable predictive memory for AI agents</w:t>
      </w:r>
    </w:p>
    <w:p>
      <w:pPr>
        <w:spacing w:after="40"/>
      </w:pPr>
      <w:r>
        <w:rPr>
          <w:rFonts w:ascii="Arial" w:hAnsi="Arial"/>
          <w:b/>
          <w:color w:val="555555"/>
          <w:sz w:val="20"/>
        </w:rPr>
        <w:t xml:space="preserve">Site:           </w:t>
      </w:r>
      <w:r>
        <w:rPr>
          <w:rFonts w:ascii="Arial" w:hAnsi="Arial"/>
          <w:sz w:val="20"/>
        </w:rPr>
        <w:t>parametric-memory.dev</w:t>
      </w:r>
    </w:p>
    <w:p>
      <w:pPr>
        <w:spacing w:after="40"/>
      </w:pPr>
      <w:r>
        <w:rPr>
          <w:rFonts w:ascii="Arial" w:hAnsi="Arial"/>
          <w:b/>
          <w:color w:val="555555"/>
          <w:sz w:val="20"/>
        </w:rPr>
        <w:t xml:space="preserve">Target launch:  </w:t>
      </w:r>
      <w:r>
        <w:rPr>
          <w:rFonts w:ascii="Arial" w:hAnsi="Arial"/>
          <w:sz w:val="20"/>
        </w:rPr>
        <w:t>On or before 2026-06-28 (per pre-launch sprint plan v2)</w:t>
      </w:r>
    </w:p>
    <w:p>
      <w:pPr>
        <w:spacing w:after="40"/>
      </w:pPr>
      <w:r>
        <w:rPr>
          <w:rFonts w:ascii="Arial" w:hAnsi="Arial"/>
          <w:b/>
          <w:color w:val="555555"/>
          <w:sz w:val="20"/>
        </w:rPr>
        <w:t xml:space="preserve">Premortem date: </w:t>
      </w:r>
      <w:r>
        <w:rPr>
          <w:rFonts w:ascii="Arial" w:hAnsi="Arial"/>
          <w:sz w:val="20"/>
        </w:rPr>
        <w:t>2026-05-04 — 8 weeks before launch</w:t>
      </w:r>
    </w:p>
    <w:p>
      <w:pPr>
        <w:spacing w:after="40"/>
      </w:pPr>
      <w:r>
        <w:rPr>
          <w:rFonts w:ascii="Arial" w:hAnsi="Arial"/>
          <w:b/>
          <w:color w:val="555555"/>
          <w:sz w:val="20"/>
        </w:rPr>
        <w:t xml:space="preserve">Audience:       </w:t>
      </w:r>
      <w:r>
        <w:rPr>
          <w:rFonts w:ascii="Arial" w:hAnsi="Arial"/>
          <w:sz w:val="20"/>
        </w:rPr>
        <w:t>Founder (solo). Brutal tone explicitly requested.</w:t>
      </w:r>
    </w:p>
    <w:p>
      <w:pPr>
        <w:spacing w:after="240"/>
      </w:pPr>
      <w:r>
        <w:rPr>
          <w:rFonts w:ascii="Arial" w:hAnsi="Arial"/>
          <w:b/>
          <w:color w:val="555555"/>
          <w:sz w:val="20"/>
        </w:rPr>
        <w:t xml:space="preserve">Method:         </w:t>
      </w:r>
      <w:r>
        <w:rPr>
          <w:rFonts w:ascii="Arial" w:hAnsi="Arial"/>
          <w:sz w:val="20"/>
        </w:rPr>
        <w:t>Code, docs, audits, sprint plan, competitor research, critical-review pass.</w:t>
      </w:r>
    </w:p>
    <w:p>
      <w:pPr>
        <w:pBdr>
          <w:bottom w:val="single" w:sz="8" w:space="1" w:color="0B4A7B"/>
        </w:pBdr>
      </w:pPr>
    </w:p>
    <w:p>
      <w:pPr>
        <w:spacing w:before="240" w:after="40"/>
      </w:pPr>
      <w:r>
        <w:rPr>
          <w:b/>
          <w:color w:val="555555"/>
          <w:sz w:val="20"/>
        </w:rPr>
        <w:t>HEADLINE</w:t>
      </w:r>
    </w:p>
    <w:p>
      <w:pPr>
        <w:spacing w:after="240"/>
      </w:pPr>
      <w:r>
        <w:rPr>
          <w:rFonts w:ascii="Arial" w:hAnsi="Arial"/>
          <w:sz w:val="24"/>
        </w:rPr>
        <w:t xml:space="preserve">MMPM did not fail because the technology was wrong. It failed because </w:t>
      </w:r>
      <w:r>
        <w:rPr>
          <w:rFonts w:ascii="Arial" w:hAnsi="Arial"/>
          <w:b/>
          <w:color w:val="0B4A7B"/>
          <w:sz w:val="24"/>
        </w:rPr>
        <w:t>the wedge was undefined</w:t>
      </w:r>
      <w:r>
        <w:rPr>
          <w:rFonts w:ascii="Arial" w:hAnsi="Arial"/>
          <w:sz w:val="24"/>
        </w:rPr>
        <w:t>. Four value propositions at four price points to four buyers — and the wrong customer self-selected into the wrong tier ($5 Starter, dedicated infra, loss-making by ~$20/customer/month). Stripe chargebacks from the existing book triggered first, the support cascade swallowed the roadmap, shared cluster slipped past Q3, and by the time the founder pivoted to the compliance pitch the runway was gone.</w:t>
      </w:r>
    </w:p>
    <w:p>
      <w:r>
        <w:br w:type="page"/>
      </w:r>
    </w:p>
    <w:p>
      <w:pPr>
        <w:pStyle w:val="Heading1"/>
        <w:spacing w:before="0" w:after="160"/>
      </w:pPr>
      <w:r>
        <w:t>Executive Summary</w:t>
      </w:r>
    </w:p>
    <w:p>
      <w:pPr>
        <w:spacing w:after="120"/>
      </w:pPr>
      <w:r>
        <w:t>This premortem assumes MMPM has already failed and reverse-engineers the cause from the May 2026 evidence available today: the codebase across three repos, yesterday's user-journey audit (8 blockers + 16 high-friction items), the locked sprint plan v2 (4 × 2-week sprints, target 2026-06-28), the locked tier registry in tiers.ts, the locked DECISIONS.md (15 decisions + 3 cross-cutting), and the May 2026 competitive landscape (Mem0 Series A; Anthropic Claude Memory shipped free March 2; OpenAI Agents SDK sessions; free OSS MCP memory servers; EU AI Act Article 12 in force August 2).</w:t>
      </w:r>
    </w:p>
    <w:p>
      <w:pPr>
        <w:spacing w:after="120"/>
      </w:pPr>
      <w:r>
        <w:t>The technical foundation is genuinely strong — RFC 6962 Merkle proofs, sub-millisecond recall, MCP-native, comprehensive test coverage. The cryptographic-audit moat is real and aligns with regulatory tailwinds (EU AI Act + SEC 17a-4). The pre-launch sprint plan is rigorous, decision-anchored, and addresses the audit blockers.</w:t>
      </w:r>
    </w:p>
    <w:p>
      <w:pPr>
        <w:spacing w:after="120"/>
      </w:pPr>
      <w:r>
        <w:t>The likely failure modes are not technical. They are structural:</w:t>
      </w:r>
    </w:p>
    <w:p>
      <w:pPr>
        <w:pStyle w:val="ListBullet"/>
        <w:spacing w:after="40"/>
        <w:ind w:left="360"/>
      </w:pPr>
      <w:r>
        <w:t>The wedge is a feature list, not a problem statement. Six tiers, four value props, two ICPs.</w:t>
      </w:r>
    </w:p>
    <w:p>
      <w:pPr>
        <w:pStyle w:val="ListBullet"/>
        <w:spacing w:after="40"/>
        <w:ind w:left="360"/>
      </w:pPr>
      <w:r>
        <w:t>Unit economics are loss-making at the Starter tier until shared cluster ships (Q3 — and Q3 promises slip).</w:t>
      </w:r>
    </w:p>
    <w:p>
      <w:pPr>
        <w:pStyle w:val="ListBullet"/>
        <w:spacing w:after="40"/>
        <w:ind w:left="360"/>
      </w:pPr>
      <w:r>
        <w:t>The launch surface is broader than a solo founder can support. 50 customers × 5 hrs/week of support drag = the roadmap stalls.</w:t>
      </w:r>
    </w:p>
    <w:p>
      <w:pPr>
        <w:pStyle w:val="ListBullet"/>
        <w:spacing w:after="40"/>
        <w:ind w:left="360"/>
      </w:pPr>
      <w:r>
        <w:t>The platform incumbents (Anthropic, OpenAI) just commoditized the floor of the category MMPM is launching into.</w:t>
      </w:r>
    </w:p>
    <w:p>
      <w:pPr>
        <w:pStyle w:val="ListBullet"/>
        <w:spacing w:after="40"/>
        <w:ind w:left="360"/>
      </w:pPr>
      <w:r>
        <w:t>Existing 6 paying customers are simultaneously beta testers, revenue, support load, and the migration risk surface.</w:t>
      </w:r>
    </w:p>
    <w:p>
      <w:pPr>
        <w:spacing w:after="80"/>
      </w:pPr>
      <w:r>
        <w:t>This document classifies 14 failure scenarios across six categories, ranks them by likelihood and severity, constructs a kill-chain ordering, and ends with the single change most likely to flip the launch from structurally-failing to structurally-succeeding.</w:t>
      </w:r>
    </w:p>
    <w:p>
      <w:pPr>
        <w:pStyle w:val="Heading3"/>
        <w:spacing w:before="240" w:after="80"/>
      </w:pPr>
      <w:r>
        <w:t>At a glance — 14 scenarios across 6 categories</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3744"/>
            <w:shd w:val="clear" w:color="auto" w:fill="0B4A7B"/>
            <w:tcMar>
              <w:top w:w="80" w:type="dxa"/>
              <w:bottom w:w="80" w:type="dxa"/>
              <w:left w:w="120" w:type="dxa"/>
              <w:right w:w="120" w:type="dxa"/>
            </w:tcMar>
          </w:tcPr>
          <w:p>
            <w:r/>
            <w:r>
              <w:rPr>
                <w:rFonts w:ascii="Arial" w:hAnsi="Arial"/>
                <w:b/>
                <w:color w:val="FFFFFF"/>
              </w:rPr>
              <w:t>Category</w:t>
            </w:r>
          </w:p>
        </w:tc>
        <w:tc>
          <w:tcPr>
            <w:tcW w:type="dxa" w:w="1296"/>
            <w:shd w:val="clear" w:color="auto" w:fill="0B4A7B"/>
            <w:tcMar>
              <w:top w:w="80" w:type="dxa"/>
              <w:bottom w:w="80" w:type="dxa"/>
              <w:left w:w="120" w:type="dxa"/>
              <w:right w:w="120" w:type="dxa"/>
            </w:tcMar>
          </w:tcPr>
          <w:p>
            <w:r/>
            <w:r>
              <w:rPr>
                <w:rFonts w:ascii="Arial" w:hAnsi="Arial"/>
                <w:b/>
                <w:color w:val="FFFFFF"/>
              </w:rPr>
              <w:t>P0</w:t>
            </w:r>
          </w:p>
        </w:tc>
        <w:tc>
          <w:tcPr>
            <w:tcW w:type="dxa" w:w="1296"/>
            <w:shd w:val="clear" w:color="auto" w:fill="0B4A7B"/>
            <w:tcMar>
              <w:top w:w="80" w:type="dxa"/>
              <w:bottom w:w="80" w:type="dxa"/>
              <w:left w:w="120" w:type="dxa"/>
              <w:right w:w="120" w:type="dxa"/>
            </w:tcMar>
          </w:tcPr>
          <w:p>
            <w:r/>
            <w:r>
              <w:rPr>
                <w:rFonts w:ascii="Arial" w:hAnsi="Arial"/>
                <w:b/>
                <w:color w:val="FFFFFF"/>
              </w:rPr>
              <w:t>P1</w:t>
            </w:r>
          </w:p>
        </w:tc>
        <w:tc>
          <w:tcPr>
            <w:tcW w:type="dxa" w:w="2880"/>
            <w:shd w:val="clear" w:color="auto" w:fill="0B4A7B"/>
            <w:tcMar>
              <w:top w:w="80" w:type="dxa"/>
              <w:bottom w:w="80" w:type="dxa"/>
              <w:left w:w="120" w:type="dxa"/>
              <w:right w:w="120" w:type="dxa"/>
            </w:tcMar>
          </w:tcPr>
          <w:p>
            <w:r/>
            <w:r>
              <w:rPr>
                <w:rFonts w:ascii="Arial" w:hAnsi="Arial"/>
                <w:b/>
                <w:color w:val="FFFFFF"/>
              </w:rPr>
              <w:t>Headline scenario</w:t>
            </w:r>
          </w:p>
        </w:tc>
      </w:tr>
      <w:tr>
        <w:tc>
          <w:tcPr>
            <w:tcW w:type="dxa" w:w="3744"/>
            <w:tcMar>
              <w:top w:w="80" w:type="dxa"/>
              <w:bottom w:w="80" w:type="dxa"/>
              <w:left w:w="120" w:type="dxa"/>
              <w:right w:w="120" w:type="dxa"/>
            </w:tcMar>
          </w:tcPr>
          <w:p>
            <w:r/>
            <w:r>
              <w:rPr>
                <w:rFonts w:ascii="Arial" w:hAnsi="Arial"/>
                <w:sz w:val="20"/>
              </w:rPr>
              <w:t>Market &amp; positioning</w:t>
            </w:r>
          </w:p>
        </w:tc>
        <w:tc>
          <w:tcPr>
            <w:tcW w:type="dxa" w:w="1296"/>
            <w:tcMar>
              <w:top w:w="80" w:type="dxa"/>
              <w:bottom w:w="80" w:type="dxa"/>
              <w:left w:w="120" w:type="dxa"/>
              <w:right w:w="120" w:type="dxa"/>
            </w:tcMar>
          </w:tcPr>
          <w:p>
            <w:r/>
            <w:r>
              <w:rPr>
                <w:rFonts w:ascii="Arial" w:hAnsi="Arial"/>
                <w:b/>
                <w:color w:val="B11F1F"/>
                <w:sz w:val="20"/>
              </w:rPr>
              <w:t>1</w:t>
            </w:r>
          </w:p>
        </w:tc>
        <w:tc>
          <w:tcPr>
            <w:tcW w:type="dxa" w:w="1296"/>
            <w:tcMar>
              <w:top w:w="80" w:type="dxa"/>
              <w:bottom w:w="80" w:type="dxa"/>
              <w:left w:w="120" w:type="dxa"/>
              <w:right w:w="120" w:type="dxa"/>
            </w:tcMar>
          </w:tcPr>
          <w:p>
            <w:r/>
            <w:r>
              <w:rPr>
                <w:rFonts w:ascii="Arial" w:hAnsi="Arial"/>
                <w:b/>
                <w:color w:val="B77112"/>
                <w:sz w:val="20"/>
              </w:rPr>
              <w:t>2</w:t>
            </w:r>
          </w:p>
        </w:tc>
        <w:tc>
          <w:tcPr>
            <w:tcW w:type="dxa" w:w="2880"/>
            <w:tcMar>
              <w:top w:w="80" w:type="dxa"/>
              <w:bottom w:w="80" w:type="dxa"/>
              <w:left w:w="120" w:type="dxa"/>
              <w:right w:w="120" w:type="dxa"/>
            </w:tcMar>
          </w:tcPr>
          <w:p>
            <w:r/>
            <w:r>
              <w:rPr>
                <w:rFonts w:ascii="Arial" w:hAnsi="Arial"/>
                <w:sz w:val="20"/>
              </w:rPr>
              <w:t>Anthropic / OpenAI commoditize the floor</w:t>
            </w:r>
          </w:p>
        </w:tc>
      </w:tr>
      <w:tr>
        <w:tc>
          <w:tcPr>
            <w:tcW w:type="dxa" w:w="3744"/>
            <w:shd w:val="clear" w:color="auto" w:fill="F4F6F9"/>
            <w:tcMar>
              <w:top w:w="80" w:type="dxa"/>
              <w:bottom w:w="80" w:type="dxa"/>
              <w:left w:w="120" w:type="dxa"/>
              <w:right w:w="120" w:type="dxa"/>
            </w:tcMar>
          </w:tcPr>
          <w:p>
            <w:r/>
            <w:r>
              <w:rPr>
                <w:rFonts w:ascii="Arial" w:hAnsi="Arial"/>
                <w:sz w:val="20"/>
              </w:rPr>
              <w:t>Business model / pricing</w:t>
            </w:r>
          </w:p>
        </w:tc>
        <w:tc>
          <w:tcPr>
            <w:tcW w:type="dxa" w:w="1296"/>
            <w:shd w:val="clear" w:color="auto" w:fill="F4F6F9"/>
            <w:tcMar>
              <w:top w:w="80" w:type="dxa"/>
              <w:bottom w:w="80" w:type="dxa"/>
              <w:left w:w="120" w:type="dxa"/>
              <w:right w:w="120" w:type="dxa"/>
            </w:tcMar>
          </w:tcPr>
          <w:p>
            <w:r/>
            <w:r>
              <w:rPr>
                <w:rFonts w:ascii="Arial" w:hAnsi="Arial"/>
                <w:b/>
                <w:color w:val="B11F1F"/>
                <w:sz w:val="20"/>
              </w:rPr>
              <w:t>2</w:t>
            </w:r>
          </w:p>
        </w:tc>
        <w:tc>
          <w:tcPr>
            <w:tcW w:type="dxa" w:w="1296"/>
            <w:shd w:val="clear" w:color="auto" w:fill="F4F6F9"/>
            <w:tcMar>
              <w:top w:w="80" w:type="dxa"/>
              <w:bottom w:w="80" w:type="dxa"/>
              <w:left w:w="120" w:type="dxa"/>
              <w:right w:w="120" w:type="dxa"/>
            </w:tcMar>
          </w:tcPr>
          <w:p>
            <w:r/>
            <w:r>
              <w:rPr>
                <w:rFonts w:ascii="Arial" w:hAnsi="Arial"/>
                <w:b/>
                <w:color w:val="B77112"/>
                <w:sz w:val="20"/>
              </w:rPr>
              <w:t>1</w:t>
            </w:r>
          </w:p>
        </w:tc>
        <w:tc>
          <w:tcPr>
            <w:tcW w:type="dxa" w:w="2880"/>
            <w:shd w:val="clear" w:color="auto" w:fill="F4F6F9"/>
            <w:tcMar>
              <w:top w:w="80" w:type="dxa"/>
              <w:bottom w:w="80" w:type="dxa"/>
              <w:left w:w="120" w:type="dxa"/>
              <w:right w:w="120" w:type="dxa"/>
            </w:tcMar>
          </w:tcPr>
          <w:p>
            <w:r/>
            <w:r>
              <w:rPr>
                <w:rFonts w:ascii="Arial" w:hAnsi="Arial"/>
                <w:sz w:val="20"/>
              </w:rPr>
              <w:t>$5 Starter on $24+ dedicated droplet</w:t>
            </w:r>
          </w:p>
        </w:tc>
      </w:tr>
      <w:tr>
        <w:tc>
          <w:tcPr>
            <w:tcW w:type="dxa" w:w="3744"/>
            <w:tcMar>
              <w:top w:w="80" w:type="dxa"/>
              <w:bottom w:w="80" w:type="dxa"/>
              <w:left w:w="120" w:type="dxa"/>
              <w:right w:w="120" w:type="dxa"/>
            </w:tcMar>
          </w:tcPr>
          <w:p>
            <w:r/>
            <w:r>
              <w:rPr>
                <w:rFonts w:ascii="Arial" w:hAnsi="Arial"/>
                <w:sz w:val="20"/>
              </w:rPr>
              <w:t>Product, funnel, audit</w:t>
            </w:r>
          </w:p>
        </w:tc>
        <w:tc>
          <w:tcPr>
            <w:tcW w:type="dxa" w:w="1296"/>
            <w:tcMar>
              <w:top w:w="80" w:type="dxa"/>
              <w:bottom w:w="80" w:type="dxa"/>
              <w:left w:w="120" w:type="dxa"/>
              <w:right w:w="120" w:type="dxa"/>
            </w:tcMar>
          </w:tcPr>
          <w:p>
            <w:r/>
            <w:r>
              <w:rPr>
                <w:rFonts w:ascii="Arial" w:hAnsi="Arial"/>
                <w:b/>
                <w:color w:val="B11F1F"/>
                <w:sz w:val="20"/>
              </w:rPr>
              <w:t>1</w:t>
            </w:r>
          </w:p>
        </w:tc>
        <w:tc>
          <w:tcPr>
            <w:tcW w:type="dxa" w:w="1296"/>
            <w:tcMar>
              <w:top w:w="80" w:type="dxa"/>
              <w:bottom w:w="80" w:type="dxa"/>
              <w:left w:w="120" w:type="dxa"/>
              <w:right w:w="120" w:type="dxa"/>
            </w:tcMar>
          </w:tcPr>
          <w:p>
            <w:r/>
            <w:r>
              <w:rPr>
                <w:rFonts w:ascii="Arial" w:hAnsi="Arial"/>
                <w:b/>
                <w:color w:val="B77112"/>
                <w:sz w:val="20"/>
              </w:rPr>
              <w:t>2</w:t>
            </w:r>
          </w:p>
        </w:tc>
        <w:tc>
          <w:tcPr>
            <w:tcW w:type="dxa" w:w="2880"/>
            <w:tcMar>
              <w:top w:w="80" w:type="dxa"/>
              <w:bottom w:w="80" w:type="dxa"/>
              <w:left w:w="120" w:type="dxa"/>
              <w:right w:w="120" w:type="dxa"/>
            </w:tcMar>
          </w:tcPr>
          <w:p>
            <w:r/>
            <w:r>
              <w:rPr>
                <w:rFonts w:ascii="Arial" w:hAnsi="Arial"/>
                <w:sz w:val="20"/>
              </w:rPr>
              <w:t>Audit blockers slip into launch</w:t>
            </w:r>
          </w:p>
        </w:tc>
      </w:tr>
      <w:tr>
        <w:tc>
          <w:tcPr>
            <w:tcW w:type="dxa" w:w="3744"/>
            <w:shd w:val="clear" w:color="auto" w:fill="F4F6F9"/>
            <w:tcMar>
              <w:top w:w="80" w:type="dxa"/>
              <w:bottom w:w="80" w:type="dxa"/>
              <w:left w:w="120" w:type="dxa"/>
              <w:right w:w="120" w:type="dxa"/>
            </w:tcMar>
          </w:tcPr>
          <w:p>
            <w:r/>
            <w:r>
              <w:rPr>
                <w:rFonts w:ascii="Arial" w:hAnsi="Arial"/>
                <w:sz w:val="20"/>
              </w:rPr>
              <w:t>Technical &amp; operational</w:t>
            </w:r>
          </w:p>
        </w:tc>
        <w:tc>
          <w:tcPr>
            <w:tcW w:type="dxa" w:w="1296"/>
            <w:shd w:val="clear" w:color="auto" w:fill="F4F6F9"/>
            <w:tcMar>
              <w:top w:w="80" w:type="dxa"/>
              <w:bottom w:w="80" w:type="dxa"/>
              <w:left w:w="120" w:type="dxa"/>
              <w:right w:w="120" w:type="dxa"/>
            </w:tcMar>
          </w:tcPr>
          <w:p>
            <w:r/>
            <w:r>
              <w:rPr>
                <w:rFonts w:ascii="Arial" w:hAnsi="Arial"/>
                <w:b/>
                <w:color w:val="B11F1F"/>
                <w:sz w:val="20"/>
              </w:rPr>
              <w:t>1</w:t>
            </w:r>
          </w:p>
        </w:tc>
        <w:tc>
          <w:tcPr>
            <w:tcW w:type="dxa" w:w="1296"/>
            <w:shd w:val="clear" w:color="auto" w:fill="F4F6F9"/>
            <w:tcMar>
              <w:top w:w="80" w:type="dxa"/>
              <w:bottom w:w="80" w:type="dxa"/>
              <w:left w:w="120" w:type="dxa"/>
              <w:right w:w="120" w:type="dxa"/>
            </w:tcMar>
          </w:tcPr>
          <w:p>
            <w:r/>
            <w:r>
              <w:rPr>
                <w:rFonts w:ascii="Arial" w:hAnsi="Arial"/>
                <w:b/>
                <w:color w:val="B77112"/>
                <w:sz w:val="20"/>
              </w:rPr>
              <w:t>2</w:t>
            </w:r>
          </w:p>
        </w:tc>
        <w:tc>
          <w:tcPr>
            <w:tcW w:type="dxa" w:w="2880"/>
            <w:shd w:val="clear" w:color="auto" w:fill="F4F6F9"/>
            <w:tcMar>
              <w:top w:w="80" w:type="dxa"/>
              <w:bottom w:w="80" w:type="dxa"/>
              <w:left w:w="120" w:type="dxa"/>
              <w:right w:w="120" w:type="dxa"/>
            </w:tcMar>
          </w:tcPr>
          <w:p>
            <w:r/>
            <w:r>
              <w:rPr>
                <w:rFonts w:ascii="Arial" w:hAnsi="Arial"/>
                <w:sz w:val="20"/>
              </w:rPr>
              <w:t>Webhook race triggers Stripe risk review</w:t>
            </w:r>
          </w:p>
        </w:tc>
      </w:tr>
      <w:tr>
        <w:tc>
          <w:tcPr>
            <w:tcW w:type="dxa" w:w="3744"/>
            <w:tcMar>
              <w:top w:w="80" w:type="dxa"/>
              <w:bottom w:w="80" w:type="dxa"/>
              <w:left w:w="120" w:type="dxa"/>
              <w:right w:w="120" w:type="dxa"/>
            </w:tcMar>
          </w:tcPr>
          <w:p>
            <w:r/>
            <w:r>
              <w:rPr>
                <w:rFonts w:ascii="Arial" w:hAnsi="Arial"/>
                <w:sz w:val="20"/>
              </w:rPr>
              <w:t>Founder capacity &amp; GTM</w:t>
            </w:r>
          </w:p>
        </w:tc>
        <w:tc>
          <w:tcPr>
            <w:tcW w:type="dxa" w:w="1296"/>
            <w:tcMar>
              <w:top w:w="80" w:type="dxa"/>
              <w:bottom w:w="80" w:type="dxa"/>
              <w:left w:w="120" w:type="dxa"/>
              <w:right w:w="120" w:type="dxa"/>
            </w:tcMar>
          </w:tcPr>
          <w:p>
            <w:r/>
            <w:r>
              <w:rPr>
                <w:rFonts w:ascii="Arial" w:hAnsi="Arial"/>
                <w:sz w:val="20"/>
              </w:rPr>
              <w:t>0</w:t>
            </w:r>
          </w:p>
        </w:tc>
        <w:tc>
          <w:tcPr>
            <w:tcW w:type="dxa" w:w="1296"/>
            <w:tcMar>
              <w:top w:w="80" w:type="dxa"/>
              <w:bottom w:w="80" w:type="dxa"/>
              <w:left w:w="120" w:type="dxa"/>
              <w:right w:w="120" w:type="dxa"/>
            </w:tcMar>
          </w:tcPr>
          <w:p>
            <w:r/>
            <w:r>
              <w:rPr>
                <w:rFonts w:ascii="Arial" w:hAnsi="Arial"/>
                <w:b/>
                <w:color w:val="B77112"/>
                <w:sz w:val="20"/>
              </w:rPr>
              <w:t>2</w:t>
            </w:r>
          </w:p>
        </w:tc>
        <w:tc>
          <w:tcPr>
            <w:tcW w:type="dxa" w:w="2880"/>
            <w:tcMar>
              <w:top w:w="80" w:type="dxa"/>
              <w:bottom w:w="80" w:type="dxa"/>
              <w:left w:w="120" w:type="dxa"/>
              <w:right w:w="120" w:type="dxa"/>
            </w:tcMar>
          </w:tcPr>
          <w:p>
            <w:r/>
            <w:r>
              <w:rPr>
                <w:rFonts w:ascii="Arial" w:hAnsi="Arial"/>
                <w:sz w:val="20"/>
              </w:rPr>
              <w:t>Support cascade swallows the roadmap</w:t>
            </w:r>
          </w:p>
        </w:tc>
      </w:tr>
      <w:tr>
        <w:tc>
          <w:tcPr>
            <w:tcW w:type="dxa" w:w="3744"/>
            <w:shd w:val="clear" w:color="auto" w:fill="F4F6F9"/>
            <w:tcMar>
              <w:top w:w="80" w:type="dxa"/>
              <w:bottom w:w="80" w:type="dxa"/>
              <w:left w:w="120" w:type="dxa"/>
              <w:right w:w="120" w:type="dxa"/>
            </w:tcMar>
          </w:tcPr>
          <w:p>
            <w:r/>
            <w:r>
              <w:rPr>
                <w:rFonts w:ascii="Arial" w:hAnsi="Arial"/>
                <w:sz w:val="20"/>
              </w:rPr>
              <w:t>Security, compliance, trust</w:t>
            </w:r>
          </w:p>
        </w:tc>
        <w:tc>
          <w:tcPr>
            <w:tcW w:type="dxa" w:w="1296"/>
            <w:shd w:val="clear" w:color="auto" w:fill="F4F6F9"/>
            <w:tcMar>
              <w:top w:w="80" w:type="dxa"/>
              <w:bottom w:w="80" w:type="dxa"/>
              <w:left w:w="120" w:type="dxa"/>
              <w:right w:w="120" w:type="dxa"/>
            </w:tcMar>
          </w:tcPr>
          <w:p>
            <w:r/>
            <w:r>
              <w:rPr>
                <w:rFonts w:ascii="Arial" w:hAnsi="Arial"/>
                <w:sz w:val="20"/>
              </w:rPr>
              <w:t>0</w:t>
            </w:r>
          </w:p>
        </w:tc>
        <w:tc>
          <w:tcPr>
            <w:tcW w:type="dxa" w:w="1296"/>
            <w:shd w:val="clear" w:color="auto" w:fill="F4F6F9"/>
            <w:tcMar>
              <w:top w:w="80" w:type="dxa"/>
              <w:bottom w:w="80" w:type="dxa"/>
              <w:left w:w="120" w:type="dxa"/>
              <w:right w:w="120" w:type="dxa"/>
            </w:tcMar>
          </w:tcPr>
          <w:p>
            <w:r/>
            <w:r>
              <w:rPr>
                <w:rFonts w:ascii="Arial" w:hAnsi="Arial"/>
                <w:b/>
                <w:color w:val="B77112"/>
                <w:sz w:val="20"/>
              </w:rPr>
              <w:t>1</w:t>
            </w:r>
          </w:p>
        </w:tc>
        <w:tc>
          <w:tcPr>
            <w:tcW w:type="dxa" w:w="2880"/>
            <w:shd w:val="clear" w:color="auto" w:fill="F4F6F9"/>
            <w:tcMar>
              <w:top w:w="80" w:type="dxa"/>
              <w:bottom w:w="80" w:type="dxa"/>
              <w:left w:w="120" w:type="dxa"/>
              <w:right w:w="120" w:type="dxa"/>
            </w:tcMar>
          </w:tcPr>
          <w:p>
            <w:r/>
            <w:r>
              <w:rPr>
                <w:rFonts w:ascii="Arial" w:hAnsi="Arial"/>
                <w:sz w:val="20"/>
              </w:rPr>
              <w:t>Documentation as legal liability</w:t>
            </w:r>
          </w:p>
        </w:tc>
      </w:tr>
    </w:tbl>
    <w:p>
      <w:r>
        <w:br w:type="page"/>
      </w:r>
    </w:p>
    <w:p>
      <w:pPr>
        <w:pStyle w:val="Heading1"/>
        <w:spacing w:after="160"/>
      </w:pPr>
      <w:r>
        <w:t>The Kill Chain</w:t>
      </w:r>
    </w:p>
    <w:p>
      <w:pPr>
        <w:spacing w:after="200"/>
      </w:pPr>
      <w:r>
        <w:rPr>
          <w:i/>
          <w:color w:val="555555"/>
        </w:rPr>
        <w:t>The most plausible cause of failure is not any single scenario. It is the cascade — the order in which the scenarios trigger each other. The one MMPM should fear most:</w:t>
      </w:r>
    </w:p>
    <w:p>
      <w:pPr>
        <w:spacing w:before="80" w:after="40"/>
      </w:pPr>
      <w:r>
        <w:rPr>
          <w:rFonts w:ascii="Arial" w:hAnsi="Arial"/>
          <w:b/>
          <w:color w:val="0B4A7B"/>
          <w:sz w:val="22"/>
        </w:rPr>
        <w:t>T+0  · Launch week</w:t>
      </w:r>
    </w:p>
    <w:p>
      <w:pPr>
        <w:spacing w:after="80"/>
      </w:pPr>
      <w:r>
        <w:rPr>
          <w:sz w:val="22"/>
        </w:rPr>
        <w:t>First new signup hits the 14-day trial mismatch (audit B1) or another blocker that didn't get fully closed in Sprint 1. Day-1 charge → support ticket → chargeback initiated. (CAT-PROD-1 trigger.)</w:t>
      </w:r>
    </w:p>
    <w:p>
      <w:pPr>
        <w:spacing w:before="80" w:after="40"/>
      </w:pPr>
      <w:r>
        <w:rPr>
          <w:rFonts w:ascii="Arial" w:hAnsi="Arial"/>
          <w:b/>
          <w:color w:val="0B4A7B"/>
          <w:sz w:val="22"/>
        </w:rPr>
        <w:t>T+1 week</w:t>
      </w:r>
    </w:p>
    <w:p>
      <w:pPr>
        <w:spacing w:after="80"/>
      </w:pPr>
      <w:r>
        <w:rPr>
          <w:sz w:val="22"/>
        </w:rPr>
        <w:t>Existing 6 Solo customers see the Sprint 1 reconciliations land (trial removed, grace period normalised, deployment promise corrected). 1-2 perceive bait-and-switch and chargeback. Stripe risk-flags the account. (CAT-OPS-1 trigger from the existing book — not new signups.)</w:t>
      </w:r>
    </w:p>
    <w:p>
      <w:pPr>
        <w:spacing w:before="80" w:after="40"/>
      </w:pPr>
      <w:r>
        <w:rPr>
          <w:rFonts w:ascii="Arial" w:hAnsi="Arial"/>
          <w:b/>
          <w:color w:val="0B4A7B"/>
          <w:sz w:val="22"/>
        </w:rPr>
        <w:t>T+2-3 weeks</w:t>
      </w:r>
    </w:p>
    <w:p>
      <w:pPr>
        <w:spacing w:after="80"/>
      </w:pPr>
      <w:r>
        <w:rPr>
          <w:sz w:val="22"/>
        </w:rPr>
        <w:t>Founder pulled into 30+ hrs/week of support, refund processing, and Stripe remediation. Sprint 2 (Spend Caps UI, cold-storage tier) slips one week. Sprint 3 (multi-substrate bundle) slips two weeks. Shared-cluster work doesn't start. (CAT-FOUNDER-1.)</w:t>
      </w:r>
    </w:p>
    <w:p>
      <w:pPr>
        <w:spacing w:before="80" w:after="40"/>
      </w:pPr>
      <w:r>
        <w:rPr>
          <w:rFonts w:ascii="Arial" w:hAnsi="Arial"/>
          <w:b/>
          <w:color w:val="0B4A7B"/>
          <w:sz w:val="22"/>
        </w:rPr>
        <w:t>T+4-6 weeks</w:t>
      </w:r>
    </w:p>
    <w:p>
      <w:pPr>
        <w:spacing w:after="80"/>
      </w:pPr>
      <w:r>
        <w:rPr>
          <w:sz w:val="22"/>
        </w:rPr>
        <w:t>Unit economics from CAT-MODEL-1 visibly compounding — burn exceeds revenue at 30+ Starter signups. Founder must choose: raise Starter price (lose existing 6 + new top-of-funnel), kill Starter (lose top-of-funnel), or rush shared cluster into prod (introduces CAT-OPS-2 migration risk). All three options harm the book.</w:t>
      </w:r>
    </w:p>
    <w:p>
      <w:pPr>
        <w:spacing w:before="80" w:after="40"/>
      </w:pPr>
      <w:r>
        <w:rPr>
          <w:rFonts w:ascii="Arial" w:hAnsi="Arial"/>
          <w:b/>
          <w:color w:val="0B4A7B"/>
          <w:sz w:val="22"/>
        </w:rPr>
        <w:t>T+8-10 weeks</w:t>
      </w:r>
    </w:p>
    <w:p>
      <w:pPr>
        <w:spacing w:after="80"/>
      </w:pPr>
      <w:r>
        <w:rPr>
          <w:sz w:val="22"/>
        </w:rPr>
        <w:t>Anthropic ships a recommended-memory-MCP partner program update or OpenAI announces durable Agent SDK memory. Free option becomes the assumed default in developer Discords and HN comments. Organic signups drop. (CAT-MARKET-1 / CAT-MARKET-2 trigger.)</w:t>
      </w:r>
    </w:p>
    <w:p>
      <w:pPr>
        <w:spacing w:before="80" w:after="40"/>
      </w:pPr>
      <w:r>
        <w:rPr>
          <w:rFonts w:ascii="Arial" w:hAnsi="Arial"/>
          <w:b/>
          <w:color w:val="0B4A7B"/>
          <w:sz w:val="22"/>
        </w:rPr>
        <w:t>T+12-16 weeks</w:t>
      </w:r>
    </w:p>
    <w:p>
      <w:pPr>
        <w:spacing w:after="80"/>
      </w:pPr>
      <w:r>
        <w:rPr>
          <w:sz w:val="22"/>
        </w:rPr>
        <w:t>Founder pivots messaging hard to enterprise-compliance (EU AI Act Article 12 / SEC 17a-4). Discovers the 6-12 month enterprise sales cycle, no SOC 2 Type I, no SDR motion, no procurement experience. (CAT-MARKET-3.)</w:t>
      </w:r>
    </w:p>
    <w:p>
      <w:pPr>
        <w:spacing w:before="80" w:after="40"/>
      </w:pPr>
      <w:r>
        <w:rPr>
          <w:rFonts w:ascii="Arial" w:hAnsi="Arial"/>
          <w:b/>
          <w:color w:val="0B4A7B"/>
          <w:sz w:val="22"/>
        </w:rPr>
        <w:t>T+20+ weeks</w:t>
      </w:r>
    </w:p>
    <w:p>
      <w:pPr>
        <w:spacing w:after="80"/>
      </w:pPr>
      <w:r>
        <w:rPr>
          <w:sz w:val="22"/>
        </w:rPr>
        <w:t>Cash runway compressed by accumulated dedicated-droplet bleed plus a quarter of stalled product work. No raise possible — category is post-hype, no SOC 2, no logo customer, and the dogfooded ops substrate has had two visible incidents during the support cascade. Quiet sunset.</w:t>
      </w:r>
    </w:p>
    <w:p>
      <w:pPr>
        <w:spacing w:before="200" w:after="80"/>
      </w:pPr>
      <w:r>
        <w:rPr>
          <w:rFonts w:ascii="Arial" w:hAnsi="Arial"/>
          <w:i/>
          <w:color w:val="555555"/>
          <w:sz w:val="22"/>
        </w:rPr>
        <w:t xml:space="preserve">The kill chain does not start with unit economics. </w:t>
      </w:r>
      <w:r>
        <w:rPr>
          <w:rFonts w:ascii="Arial" w:hAnsi="Arial"/>
          <w:i/>
          <w:color w:val="555555"/>
          <w:sz w:val="22"/>
        </w:rPr>
        <w:t>It starts with documentation/audit blockers triggering Stripe issues. The unit-economics disease then has time to compound while the founder is firefighting.</w:t>
      </w:r>
    </w:p>
    <w:p>
      <w:r>
        <w:br w:type="page"/>
      </w:r>
    </w:p>
    <w:p>
      <w:pPr>
        <w:pStyle w:val="Heading1"/>
        <w:spacing w:after="80"/>
      </w:pPr>
      <w:r>
        <w:t>Failure Scenarios</w:t>
      </w:r>
    </w:p>
    <w:p>
      <w:pPr>
        <w:spacing w:after="200"/>
      </w:pPr>
      <w:r>
        <w:rPr>
          <w:i/>
          <w:color w:val="555555"/>
        </w:rPr>
        <w:t>Fourteen scenarios, classified by category and ranked by likelihood × severity. Each scenario contains: the story (how it actually plays out), the root cause, and the pre-launch fix with its rough effort cost.</w:t>
      </w:r>
    </w:p>
    <w:p>
      <w:pPr>
        <w:pStyle w:val="Heading2"/>
        <w:spacing w:before="160" w:after="80"/>
      </w:pPr>
      <w:r>
        <w:t>1 · Market &amp; Positioning</w:t>
      </w:r>
    </w:p>
    <w:p>
      <w:pPr>
        <w:spacing w:before="280" w:after="40"/>
      </w:pPr>
      <w:r>
        <w:rPr>
          <w:rFonts w:ascii="Arial" w:hAnsi="Arial"/>
          <w:b/>
          <w:color w:val="0B4A7B"/>
          <w:sz w:val="26"/>
        </w:rPr>
        <w:t>1.1. The wedge is a feature list, not a problem statement</w:t>
      </w:r>
    </w:p>
    <w:p>
      <w:pPr>
        <w:spacing w:after="80"/>
      </w:pPr>
      <w:r>
        <w:rPr>
          <w:rFonts w:ascii="Arial" w:hAnsi="Arial"/>
          <w:color w:val="555555"/>
          <w:sz w:val="18"/>
        </w:rPr>
        <w:t>Category: Market &amp; Positioning</w:t>
      </w:r>
      <w:r>
        <w:rPr>
          <w:color w:val="555555"/>
          <w:sz w:val="18"/>
        </w:rPr>
        <w:t xml:space="preserve">   ·   </w:t>
      </w:r>
      <w:r>
        <w:rPr>
          <w:rFonts w:ascii="Arial" w:hAnsi="Arial"/>
          <w:b/>
          <w:color w:val="B11F1F"/>
          <w:sz w:val="18"/>
        </w:rPr>
        <w:t>Severity: P0 · Critical</w:t>
      </w:r>
      <w:r>
        <w:rPr>
          <w:color w:val="555555"/>
          <w:sz w:val="18"/>
        </w:rPr>
        <w:t xml:space="preserve">   ·   </w:t>
      </w:r>
      <w:r>
        <w:rPr>
          <w:rFonts w:ascii="Arial" w:hAnsi="Arial"/>
          <w:b/>
          <w:color w:val="555555"/>
          <w:sz w:val="18"/>
        </w:rPr>
        <w:t>Likelihood: High</w:t>
      </w:r>
    </w:p>
    <w:p>
      <w:pPr>
        <w:spacing w:after="80"/>
      </w:pPr>
      <w:r>
        <w:rPr>
          <w:rFonts w:ascii="Arial" w:hAnsi="Arial"/>
          <w:b/>
          <w:sz w:val="20"/>
        </w:rPr>
        <w:t xml:space="preserve">Root cause. </w:t>
      </w:r>
      <w:r>
        <w:rPr>
          <w:rFonts w:ascii="Arial" w:hAnsi="Arial"/>
          <w:sz w:val="20"/>
        </w:rPr>
        <w:t>The homepage promises four orthogonal value propositions — verifiable Merkle proofs, Markov-chain prediction (64% hit rate), sub-millisecond recall, and "dedicated from $5/mo" — at four price points to at least two distinct ICPs (price-sensitive indie devs and audit-burdened enterprise teams). Mem0 sells "memory for chatbots." Zep sells "long-term memory for agents." MMPM sells features.</w:t>
      </w:r>
    </w:p>
    <w:p>
      <w:pPr>
        <w:spacing w:after="0"/>
      </w:pPr>
      <w:r>
        <w:rPr>
          <w:rFonts w:ascii="Arial" w:hAnsi="Arial"/>
          <w:b/>
          <w:sz w:val="20"/>
        </w:rPr>
        <w:t xml:space="preserve">How it plays out. </w:t>
      </w:r>
    </w:p>
    <w:p>
      <w:pPr>
        <w:spacing w:after="80"/>
      </w:pPr>
      <w:r>
        <w:rPr>
          <w:sz w:val="20"/>
        </w:rPr>
        <w:t>A prospect arrives, cannot articulate in one sentence what MMPM replaces, and either bounces or self-selects into the cheapest tier to find out. That cheapest tier is the loss-making one. Conversion to Pro/Team is near zero because the wedge that justifies the upsell is invisible. Six months in: 200 hobbyists at $5 and three enterprise pilots that never close. The technical buyer who would have paid $500/month for cryptographic audit never finds the page that talks to them.</w:t>
      </w:r>
    </w:p>
    <w:p>
      <w:pPr>
        <w:spacing w:after="40"/>
      </w:pPr>
      <w:r>
        <w:rPr>
          <w:rFonts w:ascii="Arial" w:hAnsi="Arial"/>
          <w:b/>
          <w:color w:val="0B4A7B"/>
          <w:sz w:val="20"/>
        </w:rPr>
        <w:t xml:space="preserve">Pre-launch fix. </w:t>
      </w:r>
      <w:r>
        <w:rPr>
          <w:rFonts w:ascii="Arial" w:hAnsi="Arial"/>
          <w:sz w:val="20"/>
        </w:rPr>
        <w:t>Pick one wedge for launch. The market evidence (Mem0 owns indie, Anthropic owns the floor, EU AI Act is three months away) all points to: "audit-grade memory for AI you can prove behaved correctly." Rewrite the homepage hero around that single sentence. Demote Markov to an engine page. Demote "$5" to a footer note for hobbyists. Lead with the regulatory tailwind, the RFC 6962 / SEC 17a-4 grounding, and one customer-shaped proof point.</w:t>
      </w:r>
    </w:p>
    <w:p>
      <w:pPr>
        <w:spacing w:after="80"/>
      </w:pPr>
      <w:r>
        <w:rPr>
          <w:rFonts w:ascii="Arial" w:hAnsi="Arial"/>
          <w:b/>
          <w:color w:val="555555"/>
          <w:sz w:val="18"/>
        </w:rPr>
        <w:t xml:space="preserve">Effort: </w:t>
      </w:r>
      <w:r>
        <w:rPr>
          <w:rFonts w:ascii="Arial" w:hAnsi="Arial"/>
          <w:i/>
          <w:color w:val="555555"/>
          <w:sz w:val="18"/>
        </w:rPr>
        <w:t>1-2 days of copy + IA work. Highest-leverage change in this report.</w:t>
      </w:r>
    </w:p>
    <w:p>
      <w:pPr>
        <w:spacing w:before="280" w:after="40"/>
      </w:pPr>
      <w:r>
        <w:rPr>
          <w:rFonts w:ascii="Arial" w:hAnsi="Arial"/>
          <w:b/>
          <w:color w:val="0B4A7B"/>
          <w:sz w:val="26"/>
        </w:rPr>
        <w:t>1.2. Anthropic and OpenAI commoditize the memory floor</w:t>
      </w:r>
    </w:p>
    <w:p>
      <w:pPr>
        <w:spacing w:after="80"/>
      </w:pPr>
      <w:r>
        <w:rPr>
          <w:rFonts w:ascii="Arial" w:hAnsi="Arial"/>
          <w:color w:val="555555"/>
          <w:sz w:val="18"/>
        </w:rPr>
        <w:t>Category: Market &amp; Positioning</w:t>
      </w:r>
      <w:r>
        <w:rPr>
          <w:color w:val="555555"/>
          <w:sz w:val="18"/>
        </w:rPr>
        <w:t xml:space="preserve">   ·   </w:t>
      </w:r>
      <w:r>
        <w:rPr>
          <w:rFonts w:ascii="Arial" w:hAnsi="Arial"/>
          <w:b/>
          <w:color w:val="B11F1F"/>
          <w:sz w:val="18"/>
        </w:rPr>
        <w:t>Severity: P0 · Critical</w:t>
      </w:r>
      <w:r>
        <w:rPr>
          <w:color w:val="555555"/>
          <w:sz w:val="18"/>
        </w:rPr>
        <w:t xml:space="preserve">   ·   </w:t>
      </w:r>
      <w:r>
        <w:rPr>
          <w:rFonts w:ascii="Arial" w:hAnsi="Arial"/>
          <w:b/>
          <w:color w:val="555555"/>
          <w:sz w:val="18"/>
        </w:rPr>
        <w:t>Likelihood: High</w:t>
      </w:r>
    </w:p>
    <w:p>
      <w:pPr>
        <w:spacing w:after="80"/>
      </w:pPr>
      <w:r>
        <w:rPr>
          <w:rFonts w:ascii="Arial" w:hAnsi="Arial"/>
          <w:b/>
          <w:sz w:val="20"/>
        </w:rPr>
        <w:t xml:space="preserve">Root cause. </w:t>
      </w:r>
      <w:r>
        <w:rPr>
          <w:rFonts w:ascii="Arial" w:hAnsi="Arial"/>
          <w:sz w:val="20"/>
        </w:rPr>
        <w:t>Anthropic shipped Claude Memory free for chat users on 2026-03-02 and Memory for Managed Agents on 2026-04-23. The OpenAI Agents SDK has built-in `sessions` persistent memory and `RunContextWrapper` for stateful agents. Free MCP `@modelcontextprotocol/server-memory` is one `npx` away. The default cost of "agent memory" for the median developer in May 2026 is $0.</w:t>
      </w:r>
    </w:p>
    <w:p>
      <w:pPr>
        <w:spacing w:after="0"/>
      </w:pPr>
      <w:r>
        <w:rPr>
          <w:rFonts w:ascii="Arial" w:hAnsi="Arial"/>
          <w:b/>
          <w:sz w:val="20"/>
        </w:rPr>
        <w:t xml:space="preserve">How it plays out. </w:t>
      </w:r>
    </w:p>
    <w:p>
      <w:pPr>
        <w:spacing w:after="80"/>
      </w:pPr>
      <w:r>
        <w:rPr>
          <w:sz w:val="20"/>
        </w:rPr>
        <w:t>By Q3 2026, "do you really need a third-party memory layer?" is a default objection on every developer deal. Hacker News and r/LocalLLaMA threads benchmark MMPM against the free MCP server and find it 10x more expensive without a 10x story the audience cares about. "Verifiable" doesn't matter to a $5/month developer buyer — and the developer buyer is who the $5 tier brings in. The whole top-of-funnel is the wrong audience for the actual differentiation.</w:t>
      </w:r>
    </w:p>
    <w:p>
      <w:pPr>
        <w:spacing w:after="40"/>
      </w:pPr>
      <w:r>
        <w:rPr>
          <w:rFonts w:ascii="Arial" w:hAnsi="Arial"/>
          <w:b/>
          <w:color w:val="0B4A7B"/>
          <w:sz w:val="20"/>
        </w:rPr>
        <w:t xml:space="preserve">Pre-launch fix. </w:t>
      </w:r>
      <w:r>
        <w:rPr>
          <w:rFonts w:ascii="Arial" w:hAnsi="Arial"/>
          <w:sz w:val="20"/>
        </w:rPr>
        <w:t>Stop competing with Anthropic/OpenAI on developer memory. Reposition explicitly to "verifiable memory for AI in regulated industries" and treat the platform incumbents as upstream complements, not competitors. Add "works alongside Claude/OpenAI memory for the audit trail you can show the regulator." Ship a comparison page that does NOT try to win on memory features — it wins on the audit primitive.</w:t>
      </w:r>
    </w:p>
    <w:p>
      <w:pPr>
        <w:spacing w:after="80"/>
      </w:pPr>
      <w:r>
        <w:rPr>
          <w:rFonts w:ascii="Arial" w:hAnsi="Arial"/>
          <w:b/>
          <w:color w:val="555555"/>
          <w:sz w:val="18"/>
        </w:rPr>
        <w:t xml:space="preserve">Effort: </w:t>
      </w:r>
      <w:r>
        <w:rPr>
          <w:rFonts w:ascii="Arial" w:hAnsi="Arial"/>
          <w:i/>
          <w:color w:val="555555"/>
          <w:sz w:val="18"/>
        </w:rPr>
        <w:t>1 day of positioning copy + 1 page write-up. Pairs with 1.1.</w:t>
      </w:r>
    </w:p>
    <w:p>
      <w:pPr>
        <w:spacing w:before="280" w:after="40"/>
      </w:pPr>
      <w:r>
        <w:rPr>
          <w:rFonts w:ascii="Arial" w:hAnsi="Arial"/>
          <w:b/>
          <w:color w:val="0B4A7B"/>
          <w:sz w:val="26"/>
        </w:rPr>
        <w:t>1.3. The compliance sale is real but slower than the runway allows</w:t>
      </w:r>
    </w:p>
    <w:p>
      <w:pPr>
        <w:spacing w:after="80"/>
      </w:pPr>
      <w:r>
        <w:rPr>
          <w:rFonts w:ascii="Arial" w:hAnsi="Arial"/>
          <w:color w:val="555555"/>
          <w:sz w:val="18"/>
        </w:rPr>
        <w:t>Category: Market &amp; Positioning</w:t>
      </w:r>
      <w:r>
        <w:rPr>
          <w:color w:val="555555"/>
          <w:sz w:val="18"/>
        </w:rPr>
        <w:t xml:space="preserve">   ·   </w:t>
      </w:r>
      <w:r>
        <w:rPr>
          <w:rFonts w:ascii="Arial" w:hAnsi="Arial"/>
          <w:b/>
          <w:color w:val="B77112"/>
          <w:sz w:val="18"/>
        </w:rPr>
        <w:t>Severity: P1 · Major</w:t>
      </w:r>
      <w:r>
        <w:rPr>
          <w:color w:val="555555"/>
          <w:sz w:val="18"/>
        </w:rPr>
        <w:t xml:space="preserve">   ·   </w:t>
      </w:r>
      <w:r>
        <w:rPr>
          <w:rFonts w:ascii="Arial" w:hAnsi="Arial"/>
          <w:b/>
          <w:color w:val="555555"/>
          <w:sz w:val="18"/>
        </w:rPr>
        <w:t>Likelihood: Medium</w:t>
      </w:r>
    </w:p>
    <w:p>
      <w:pPr>
        <w:spacing w:after="80"/>
      </w:pPr>
      <w:r>
        <w:rPr>
          <w:rFonts w:ascii="Arial" w:hAnsi="Arial"/>
          <w:b/>
          <w:sz w:val="20"/>
        </w:rPr>
        <w:t xml:space="preserve">Root cause. </w:t>
      </w:r>
      <w:r>
        <w:rPr>
          <w:rFonts w:ascii="Arial" w:hAnsi="Arial"/>
          <w:sz w:val="20"/>
        </w:rPr>
        <w:t>EU AI Act Article 12 logging obligations apply 2026-08-02. SEC Rule 17a-4 explicitly recognizes Merkle trees as valid audit trails. This is a genuine moat — but enterprise compliance procurement runs 6-12 months, requires SOC 2 (Type I minimum), legal review, security questionnaires, and an SDR motion the founder does not have.</w:t>
      </w:r>
    </w:p>
    <w:p>
      <w:pPr>
        <w:spacing w:after="0"/>
      </w:pPr>
      <w:r>
        <w:rPr>
          <w:rFonts w:ascii="Arial" w:hAnsi="Arial"/>
          <w:b/>
          <w:sz w:val="20"/>
        </w:rPr>
        <w:t xml:space="preserve">How it plays out. </w:t>
      </w:r>
    </w:p>
    <w:p>
      <w:pPr>
        <w:spacing w:after="80"/>
      </w:pPr>
      <w:r>
        <w:rPr>
          <w:sz w:val="20"/>
        </w:rPr>
        <w:t>The repositioning from 1.1/1.2 succeeds at lead generation — three banks and a healthtech put MMPM on their vendor evaluation list. None of them close in 2026. By the time the first deal lands in Q2 2027, the cash burn from the failed Starter tier has already consumed runway. The right strategy worked, slower than the wrong strategy was burning.</w:t>
      </w:r>
    </w:p>
    <w:p>
      <w:pPr>
        <w:spacing w:after="40"/>
      </w:pPr>
      <w:r>
        <w:rPr>
          <w:rFonts w:ascii="Arial" w:hAnsi="Arial"/>
          <w:b/>
          <w:color w:val="0B4A7B"/>
          <w:sz w:val="20"/>
        </w:rPr>
        <w:t xml:space="preserve">Pre-launch fix. </w:t>
      </w:r>
      <w:r>
        <w:rPr>
          <w:rFonts w:ascii="Arial" w:hAnsi="Arial"/>
          <w:sz w:val="20"/>
        </w:rPr>
        <w:t>Don't try to win the enterprise compliance sale at launch. Sell to mid-market AI vendors who themselves sell into regulated industries — they need the audit primitive without buying full enterprise audit infrastructure. "OEM the audit trail" wedge. Start SOC 2 Type I in parallel (8-week observation window, ~$8-15k for a starter audit firm).</w:t>
      </w:r>
    </w:p>
    <w:p>
      <w:pPr>
        <w:spacing w:after="80"/>
      </w:pPr>
      <w:r>
        <w:rPr>
          <w:rFonts w:ascii="Arial" w:hAnsi="Arial"/>
          <w:b/>
          <w:color w:val="555555"/>
          <w:sz w:val="18"/>
        </w:rPr>
        <w:t xml:space="preserve">Effort: </w:t>
      </w:r>
      <w:r>
        <w:rPr>
          <w:rFonts w:ascii="Arial" w:hAnsi="Arial"/>
          <w:i/>
          <w:color w:val="555555"/>
          <w:sz w:val="18"/>
        </w:rPr>
        <w:t>Strategy decision: 1 day. SOC 2 Type I kick-off: 1 week. Enterprise sales motion: not sustainable solo.</w:t>
      </w:r>
    </w:p>
    <w:p>
      <w:pPr>
        <w:pStyle w:val="Heading2"/>
        <w:spacing w:before="160" w:after="80"/>
      </w:pPr>
      <w:r>
        <w:t>2 · Business Model &amp; Unit Economics</w:t>
      </w:r>
    </w:p>
    <w:p>
      <w:pPr>
        <w:spacing w:before="280" w:after="40"/>
      </w:pPr>
      <w:r>
        <w:rPr>
          <w:rFonts w:ascii="Arial" w:hAnsi="Arial"/>
          <w:b/>
          <w:color w:val="0B4A7B"/>
          <w:sz w:val="26"/>
        </w:rPr>
        <w:t>2.1. Starter at $5 on a $24+ dedicated droplet bleeds $20+/customer/month</w:t>
      </w:r>
    </w:p>
    <w:p>
      <w:pPr>
        <w:spacing w:after="80"/>
      </w:pPr>
      <w:r>
        <w:rPr>
          <w:rFonts w:ascii="Arial" w:hAnsi="Arial"/>
          <w:color w:val="555555"/>
          <w:sz w:val="18"/>
        </w:rPr>
        <w:t>Category: Business Model &amp; Unit Economics</w:t>
      </w:r>
      <w:r>
        <w:rPr>
          <w:color w:val="555555"/>
          <w:sz w:val="18"/>
        </w:rPr>
        <w:t xml:space="preserve">   ·   </w:t>
      </w:r>
      <w:r>
        <w:rPr>
          <w:rFonts w:ascii="Arial" w:hAnsi="Arial"/>
          <w:b/>
          <w:color w:val="B11F1F"/>
          <w:sz w:val="18"/>
        </w:rPr>
        <w:t>Severity: P0 · Critical</w:t>
      </w:r>
      <w:r>
        <w:rPr>
          <w:color w:val="555555"/>
          <w:sz w:val="18"/>
        </w:rPr>
        <w:t xml:space="preserve">   ·   </w:t>
      </w:r>
      <w:r>
        <w:rPr>
          <w:rFonts w:ascii="Arial" w:hAnsi="Arial"/>
          <w:b/>
          <w:color w:val="555555"/>
          <w:sz w:val="18"/>
        </w:rPr>
        <w:t>Likelihood: High</w:t>
      </w:r>
    </w:p>
    <w:p>
      <w:pPr>
        <w:spacing w:after="80"/>
      </w:pPr>
      <w:r>
        <w:rPr>
          <w:rFonts w:ascii="Arial" w:hAnsi="Arial"/>
          <w:b/>
          <w:sz w:val="20"/>
        </w:rPr>
        <w:t xml:space="preserve">Root cause. </w:t>
      </w:r>
      <w:r>
        <w:rPr>
          <w:rFonts w:ascii="Arial" w:hAnsi="Arial"/>
          <w:sz w:val="20"/>
        </w:rPr>
        <w:t>tiers.ts comment is explicit: "compute provisions dedicated droplets only — shared cluster support is the gating work for honouring '$5/mo shared'." Sprint plan v2 defers shared cluster to Q3. Until then, every Starter customer is on a dedicated DigitalOcean droplet costing $24-30/month minimum. Plus Postgres, bandwidth, monitoring, Stripe fees. Net per Starter customer: ~-$20 to -$25 per month.</w:t>
      </w:r>
    </w:p>
    <w:p>
      <w:pPr>
        <w:spacing w:after="0"/>
      </w:pPr>
      <w:r>
        <w:rPr>
          <w:rFonts w:ascii="Arial" w:hAnsi="Arial"/>
          <w:b/>
          <w:sz w:val="20"/>
        </w:rPr>
        <w:t xml:space="preserve">How it plays out. </w:t>
      </w:r>
    </w:p>
    <w:p>
      <w:pPr>
        <w:spacing w:after="80"/>
      </w:pPr>
      <w:r>
        <w:rPr>
          <w:sz w:val="20"/>
        </w:rPr>
        <w:t>First wave of 50 Starter signups in launch month produces $250 of revenue and ~$1,250 of dedicated-infra cost. By month 3 with 150 Starter customers, the bleed is ~$3,000/month. Founder cannot raise the price without alienating the 6 existing Solo customers and the entire Hacker News launch cohort. Cannot kill the tier without losing the only top-of-funnel that drives signups. Cannot rush shared cluster without introducing migration risk against the existing book. The trap snaps shut around the 90-day mark — exactly when the Q3 shared-cluster slip becomes visible.</w:t>
      </w:r>
    </w:p>
    <w:p>
      <w:pPr>
        <w:spacing w:after="40"/>
      </w:pPr>
      <w:r>
        <w:rPr>
          <w:rFonts w:ascii="Arial" w:hAnsi="Arial"/>
          <w:b/>
          <w:color w:val="0B4A7B"/>
          <w:sz w:val="20"/>
        </w:rPr>
        <w:t xml:space="preserve">Pre-launch fix. </w:t>
      </w:r>
      <w:r>
        <w:rPr>
          <w:rFonts w:ascii="Arial" w:hAnsi="Arial"/>
          <w:sz w:val="20"/>
        </w:rPr>
        <w:t>(a) Run the S0.4 unit-economics spike before any paid acquisition begins — the spike is in the sprint plan but is not yet executed. (b) Strongly consider killing the Starter tier for launch and making Solo $9 the floor. (c) If Starter must launch, change the deployment promise to "shared (rolling out)" and gate signups behind a waitlist until shared cluster is stable. (d) Set a hard burn-rate alarm: pause Starter signups if cumulative Starter loss exceeds runway × 10%.</w:t>
      </w:r>
    </w:p>
    <w:p>
      <w:pPr>
        <w:spacing w:after="80"/>
      </w:pPr>
      <w:r>
        <w:rPr>
          <w:rFonts w:ascii="Arial" w:hAnsi="Arial"/>
          <w:b/>
          <w:color w:val="555555"/>
          <w:sz w:val="18"/>
        </w:rPr>
        <w:t xml:space="preserve">Effort: </w:t>
      </w:r>
      <w:r>
        <w:rPr>
          <w:rFonts w:ascii="Arial" w:hAnsi="Arial"/>
          <w:i/>
          <w:color w:val="555555"/>
          <w:sz w:val="18"/>
        </w:rPr>
        <w:t>S0.4 spike: 2 days (already scheduled). Tier-cull decision: 1 hour. Waitlist gate: 0.5 day.</w:t>
      </w:r>
    </w:p>
    <w:p>
      <w:pPr>
        <w:spacing w:before="280" w:after="40"/>
      </w:pPr>
      <w:r>
        <w:rPr>
          <w:rFonts w:ascii="Arial" w:hAnsi="Arial"/>
          <w:b/>
          <w:color w:val="0B4A7B"/>
          <w:sz w:val="26"/>
        </w:rPr>
        <w:t>2.2. Six tiers, two of them overlapping, one sells nothing</w:t>
      </w:r>
    </w:p>
    <w:p>
      <w:pPr>
        <w:spacing w:after="80"/>
      </w:pPr>
      <w:r>
        <w:rPr>
          <w:rFonts w:ascii="Arial" w:hAnsi="Arial"/>
          <w:color w:val="555555"/>
          <w:sz w:val="18"/>
        </w:rPr>
        <w:t>Category: Business Model &amp; Unit Economics</w:t>
      </w:r>
      <w:r>
        <w:rPr>
          <w:color w:val="555555"/>
          <w:sz w:val="18"/>
        </w:rPr>
        <w:t xml:space="preserve">   ·   </w:t>
      </w:r>
      <w:r>
        <w:rPr>
          <w:rFonts w:ascii="Arial" w:hAnsi="Arial"/>
          <w:b/>
          <w:color w:val="B77112"/>
          <w:sz w:val="18"/>
        </w:rPr>
        <w:t>Severity: P1 · Major</w:t>
      </w:r>
      <w:r>
        <w:rPr>
          <w:color w:val="555555"/>
          <w:sz w:val="18"/>
        </w:rPr>
        <w:t xml:space="preserve">   ·   </w:t>
      </w:r>
      <w:r>
        <w:rPr>
          <w:rFonts w:ascii="Arial" w:hAnsi="Arial"/>
          <w:b/>
          <w:color w:val="555555"/>
          <w:sz w:val="18"/>
        </w:rPr>
        <w:t>Likelihood: High</w:t>
      </w:r>
    </w:p>
    <w:p>
      <w:pPr>
        <w:spacing w:after="80"/>
      </w:pPr>
      <w:r>
        <w:rPr>
          <w:rFonts w:ascii="Arial" w:hAnsi="Arial"/>
          <w:b/>
          <w:sz w:val="20"/>
        </w:rPr>
        <w:t xml:space="preserve">Root cause. </w:t>
      </w:r>
      <w:r>
        <w:rPr>
          <w:rFonts w:ascii="Arial" w:hAnsi="Arial"/>
          <w:sz w:val="20"/>
        </w:rPr>
        <w:t>The publicly-sold ladder is Starter $5 / Solo $9 / Pro $29 / Team $79 / Enterprise. Plus internal-only Basic $1 (cold-storage). Starter and Solo overlap on positioning ("individual developer"); their delta is 2x atom limit and a $9 spend cap vs $15 — a difference no buyer narrates back. "Most Popular" badge sits on Pro $29.</w:t>
      </w:r>
    </w:p>
    <w:p>
      <w:pPr>
        <w:spacing w:after="0"/>
      </w:pPr>
      <w:r>
        <w:rPr>
          <w:rFonts w:ascii="Arial" w:hAnsi="Arial"/>
          <w:b/>
          <w:sz w:val="20"/>
        </w:rPr>
        <w:t xml:space="preserve">How it plays out. </w:t>
      </w:r>
    </w:p>
    <w:p>
      <w:pPr>
        <w:spacing w:after="80"/>
      </w:pPr>
      <w:r>
        <w:rPr>
          <w:sz w:val="20"/>
        </w:rPr>
        <w:t>Buyers who can't choose, don't. The pricing page becomes an obstacle, not a conversion surface. Analytics show 60% of pricing-page visits with no CTA click. The /pricing → checkout funnel collapses below industry norms (3-5%) and nobody can tell whether that's a positioning problem (1.1) or a tier-confusion problem (this).</w:t>
      </w:r>
    </w:p>
    <w:p>
      <w:pPr>
        <w:spacing w:after="40"/>
      </w:pPr>
      <w:r>
        <w:rPr>
          <w:rFonts w:ascii="Arial" w:hAnsi="Arial"/>
          <w:b/>
          <w:color w:val="0B4A7B"/>
          <w:sz w:val="20"/>
        </w:rPr>
        <w:t xml:space="preserve">Pre-launch fix. </w:t>
      </w:r>
      <w:r>
        <w:rPr>
          <w:rFonts w:ascii="Arial" w:hAnsi="Arial"/>
          <w:sz w:val="20"/>
        </w:rPr>
        <w:t>Collapse to three tiers for launch: Solo $9 (entry, shared once shipped) / Pro $29 (dedicated, the upsell) / Team $79+ (multi-substrate). Kill Starter publicly; keep Basic invisible. Three tiers, three sentences, three buyers. Reintroduce Starter once shared cluster is shipped and the unit economics spike confirms profitability.</w:t>
      </w:r>
    </w:p>
    <w:p>
      <w:pPr>
        <w:spacing w:after="80"/>
      </w:pPr>
      <w:r>
        <w:rPr>
          <w:rFonts w:ascii="Arial" w:hAnsi="Arial"/>
          <w:b/>
          <w:color w:val="555555"/>
          <w:sz w:val="18"/>
        </w:rPr>
        <w:t xml:space="preserve">Effort: </w:t>
      </w:r>
      <w:r>
        <w:rPr>
          <w:rFonts w:ascii="Arial" w:hAnsi="Arial"/>
          <w:i/>
          <w:color w:val="555555"/>
          <w:sz w:val="18"/>
        </w:rPr>
        <w:t>0.5 day for tiers.ts + Stripe metadata. Coordinated PR with sprint plan Sprint 1.</w:t>
      </w:r>
    </w:p>
    <w:p>
      <w:pPr>
        <w:spacing w:before="280" w:after="40"/>
      </w:pPr>
      <w:r>
        <w:rPr>
          <w:rFonts w:ascii="Arial" w:hAnsi="Arial"/>
          <w:b/>
          <w:color w:val="0B4A7B"/>
          <w:sz w:val="26"/>
        </w:rPr>
        <w:t>2.3. Spend caps are documented but the UI doesn't exist</w:t>
      </w:r>
    </w:p>
    <w:p>
      <w:pPr>
        <w:spacing w:after="80"/>
      </w:pPr>
      <w:r>
        <w:rPr>
          <w:rFonts w:ascii="Arial" w:hAnsi="Arial"/>
          <w:color w:val="555555"/>
          <w:sz w:val="18"/>
        </w:rPr>
        <w:t>Category: Business Model &amp; Unit Economics</w:t>
      </w:r>
      <w:r>
        <w:rPr>
          <w:color w:val="555555"/>
          <w:sz w:val="18"/>
        </w:rPr>
        <w:t xml:space="preserve">   ·   </w:t>
      </w:r>
      <w:r>
        <w:rPr>
          <w:rFonts w:ascii="Arial" w:hAnsi="Arial"/>
          <w:b/>
          <w:color w:val="B77112"/>
          <w:sz w:val="18"/>
        </w:rPr>
        <w:t>Severity: P1 · Major</w:t>
      </w:r>
      <w:r>
        <w:rPr>
          <w:color w:val="555555"/>
          <w:sz w:val="18"/>
        </w:rPr>
        <w:t xml:space="preserve">   ·   </w:t>
      </w:r>
      <w:r>
        <w:rPr>
          <w:rFonts w:ascii="Arial" w:hAnsi="Arial"/>
          <w:b/>
          <w:color w:val="555555"/>
          <w:sz w:val="18"/>
        </w:rPr>
        <w:t>Likelihood: High</w:t>
      </w:r>
    </w:p>
    <w:p>
      <w:pPr>
        <w:spacing w:after="80"/>
      </w:pPr>
      <w:r>
        <w:rPr>
          <w:rFonts w:ascii="Arial" w:hAnsi="Arial"/>
          <w:b/>
          <w:sz w:val="20"/>
        </w:rPr>
        <w:t xml:space="preserve">Root cause. </w:t>
      </w:r>
      <w:r>
        <w:rPr>
          <w:rFonts w:ascii="Arial" w:hAnsi="Arial"/>
          <w:sz w:val="20"/>
        </w:rPr>
        <w:t>Audit B6: spend-caps.mdx documents a Dashboard → Billing → Spend Caps form with screenshots and step-by-step. Reality: zero spend-cap UI in DashboardClient.tsx or AdminClient.tsx. Sprint plan v2 includes MVP spend-cap UI in Sprint 2 (D12). Until then, every documented "set custom cap" interaction routes to support.</w:t>
      </w:r>
    </w:p>
    <w:p>
      <w:pPr>
        <w:spacing w:after="0"/>
      </w:pPr>
      <w:r>
        <w:rPr>
          <w:rFonts w:ascii="Arial" w:hAnsi="Arial"/>
          <w:b/>
          <w:sz w:val="20"/>
        </w:rPr>
        <w:t xml:space="preserve">How it plays out. </w:t>
      </w:r>
    </w:p>
    <w:p>
      <w:pPr>
        <w:spacing w:after="80"/>
      </w:pPr>
      <w:r>
        <w:rPr>
          <w:sz w:val="20"/>
        </w:rPr>
        <w:t>Customer reads docs, tries to find the button, files a support ticket asking where it is. Support response is "contact us; we'll set it manually." Customer feels the product is half-built. Repeat 5+ times before Sprint 2 ships and the founder's credibility erodes — "the docs are aspirational" becomes a Discord meme.</w:t>
      </w:r>
    </w:p>
    <w:p>
      <w:pPr>
        <w:spacing w:after="40"/>
      </w:pPr>
      <w:r>
        <w:rPr>
          <w:rFonts w:ascii="Arial" w:hAnsi="Arial"/>
          <w:b/>
          <w:color w:val="0B4A7B"/>
          <w:sz w:val="20"/>
        </w:rPr>
        <w:t xml:space="preserve">Pre-launch fix. </w:t>
      </w:r>
      <w:r>
        <w:rPr>
          <w:rFonts w:ascii="Arial" w:hAnsi="Arial"/>
          <w:sz w:val="20"/>
        </w:rPr>
        <w:t>Either ship the read-only display + customer-set cap form in Sprint 2 (already planned, D12 — protect this scope), or rewrite spend-caps.mdx to describe the platform-ceiling reality and "contact support for custom caps" until the UI lands. Pick one and align in Sprint 1.</w:t>
      </w:r>
    </w:p>
    <w:p>
      <w:pPr>
        <w:spacing w:after="80"/>
      </w:pPr>
      <w:r>
        <w:rPr>
          <w:rFonts w:ascii="Arial" w:hAnsi="Arial"/>
          <w:b/>
          <w:color w:val="555555"/>
          <w:sz w:val="18"/>
        </w:rPr>
        <w:t xml:space="preserve">Effort: </w:t>
      </w:r>
      <w:r>
        <w:rPr>
          <w:rFonts w:ascii="Arial" w:hAnsi="Arial"/>
          <w:i/>
          <w:color w:val="555555"/>
          <w:sz w:val="18"/>
        </w:rPr>
        <w:t>0.5 day to rewrite docs; Sprint 2 ships UI on planned schedule.</w:t>
      </w:r>
    </w:p>
    <w:p>
      <w:pPr>
        <w:pStyle w:val="Heading2"/>
        <w:spacing w:before="160" w:after="80"/>
      </w:pPr>
      <w:r>
        <w:t>3 · Product, Funnel &amp; Audit Blockers</w:t>
      </w:r>
    </w:p>
    <w:p>
      <w:pPr>
        <w:spacing w:before="280" w:after="40"/>
      </w:pPr>
      <w:r>
        <w:rPr>
          <w:rFonts w:ascii="Arial" w:hAnsi="Arial"/>
          <w:b/>
          <w:color w:val="0B4A7B"/>
          <w:sz w:val="26"/>
        </w:rPr>
        <w:t>3.1. Audit blockers slip into the launch window</w:t>
      </w:r>
    </w:p>
    <w:p>
      <w:pPr>
        <w:spacing w:after="80"/>
      </w:pPr>
      <w:r>
        <w:rPr>
          <w:rFonts w:ascii="Arial" w:hAnsi="Arial"/>
          <w:color w:val="555555"/>
          <w:sz w:val="18"/>
        </w:rPr>
        <w:t>Category: Product, Funnel &amp; Audit Blockers</w:t>
      </w:r>
      <w:r>
        <w:rPr>
          <w:color w:val="555555"/>
          <w:sz w:val="18"/>
        </w:rPr>
        <w:t xml:space="preserve">   ·   </w:t>
      </w:r>
      <w:r>
        <w:rPr>
          <w:rFonts w:ascii="Arial" w:hAnsi="Arial"/>
          <w:b/>
          <w:color w:val="B11F1F"/>
          <w:sz w:val="18"/>
        </w:rPr>
        <w:t>Severity: P0 · Critical</w:t>
      </w:r>
      <w:r>
        <w:rPr>
          <w:color w:val="555555"/>
          <w:sz w:val="18"/>
        </w:rPr>
        <w:t xml:space="preserve">   ·   </w:t>
      </w:r>
      <w:r>
        <w:rPr>
          <w:rFonts w:ascii="Arial" w:hAnsi="Arial"/>
          <w:b/>
          <w:color w:val="555555"/>
          <w:sz w:val="18"/>
        </w:rPr>
        <w:t>Likelihood: High</w:t>
      </w:r>
    </w:p>
    <w:p>
      <w:pPr>
        <w:spacing w:after="80"/>
      </w:pPr>
      <w:r>
        <w:rPr>
          <w:rFonts w:ascii="Arial" w:hAnsi="Arial"/>
          <w:b/>
          <w:sz w:val="20"/>
        </w:rPr>
        <w:t xml:space="preserve">Root cause. </w:t>
      </w:r>
      <w:r>
        <w:rPr>
          <w:rFonts w:ascii="Arial" w:hAnsi="Arial"/>
          <w:sz w:val="20"/>
        </w:rPr>
        <w:t>Sprint plan v2 is 4 × 2-week sprints, solo dev with Claude. 6 existing customers create ongoing support drag. Yesterday's audit identified 8 blockers and 16 high-friction items. Solo capacity at this surface area leaves no float — and audits frequently surface new issues during implementation.</w:t>
      </w:r>
    </w:p>
    <w:p>
      <w:pPr>
        <w:spacing w:after="0"/>
      </w:pPr>
      <w:r>
        <w:rPr>
          <w:rFonts w:ascii="Arial" w:hAnsi="Arial"/>
          <w:b/>
          <w:sz w:val="20"/>
        </w:rPr>
        <w:t xml:space="preserve">How it plays out. </w:t>
      </w:r>
    </w:p>
    <w:p>
      <w:pPr>
        <w:spacing w:after="80"/>
      </w:pPr>
      <w:r>
        <w:rPr>
          <w:sz w:val="20"/>
        </w:rPr>
        <w:t>By week 6, three blockers slip from Sprint 1 → Sprint 2 → Sprint 3. The 14-day-trial mismatch in actions.json (B1) is removed but the corresponding language in the sales-page hero copy is missed. First new signup reads "start free" wording in OG meta and is immediately charged $5. Chargeback opens. The fix-then-find pattern compounds across Sprint 2 and Sprint 3 — every fix surfaces an adjacent inconsistency that wasn't on the audit list.</w:t>
      </w:r>
    </w:p>
    <w:p>
      <w:pPr>
        <w:spacing w:after="40"/>
      </w:pPr>
      <w:r>
        <w:rPr>
          <w:rFonts w:ascii="Arial" w:hAnsi="Arial"/>
          <w:b/>
          <w:color w:val="0B4A7B"/>
          <w:sz w:val="20"/>
        </w:rPr>
        <w:t xml:space="preserve">Pre-launch fix. </w:t>
      </w:r>
      <w:r>
        <w:rPr>
          <w:rFonts w:ascii="Arial" w:hAnsi="Arial"/>
          <w:sz w:val="20"/>
        </w:rPr>
        <w:t>(a) Add an audit-fix verification gate to every Sprint-end DoD: a short walk-through by a non-author tester (Claude or you with fresh eyes) of every customer-facing surface for the changed flow. (b) Treat the 8 blockers as Sprint 1 hard scope — defer scope-additions to Sprint 2/3 if needed. (c) Build the launch waitlist BEFORE Sprint 1 ends so launch-day signups face Sprint 4-tested code, not Sprint 1.</w:t>
      </w:r>
    </w:p>
    <w:p>
      <w:pPr>
        <w:spacing w:after="80"/>
      </w:pPr>
      <w:r>
        <w:rPr>
          <w:rFonts w:ascii="Arial" w:hAnsi="Arial"/>
          <w:b/>
          <w:color w:val="555555"/>
          <w:sz w:val="18"/>
        </w:rPr>
        <w:t xml:space="preserve">Effort: </w:t>
      </w:r>
      <w:r>
        <w:rPr>
          <w:rFonts w:ascii="Arial" w:hAnsi="Arial"/>
          <w:i/>
          <w:color w:val="555555"/>
          <w:sz w:val="18"/>
        </w:rPr>
        <w:t>Process change, no new build cost. Verification walk-through: 1 hr per surface per sprint.</w:t>
      </w:r>
    </w:p>
    <w:p>
      <w:pPr>
        <w:spacing w:before="280" w:after="40"/>
      </w:pPr>
      <w:r>
        <w:rPr>
          <w:rFonts w:ascii="Arial" w:hAnsi="Arial"/>
          <w:b/>
          <w:color w:val="0B4A7B"/>
          <w:sz w:val="26"/>
        </w:rPr>
        <w:t>3.2. First-60-seconds experience is hidden behind an integration wall</w:t>
      </w:r>
    </w:p>
    <w:p>
      <w:pPr>
        <w:spacing w:after="80"/>
      </w:pPr>
      <w:r>
        <w:rPr>
          <w:rFonts w:ascii="Arial" w:hAnsi="Arial"/>
          <w:color w:val="555555"/>
          <w:sz w:val="18"/>
        </w:rPr>
        <w:t>Category: Product, Funnel &amp; Audit Blockers</w:t>
      </w:r>
      <w:r>
        <w:rPr>
          <w:color w:val="555555"/>
          <w:sz w:val="18"/>
        </w:rPr>
        <w:t xml:space="preserve">   ·   </w:t>
      </w:r>
      <w:r>
        <w:rPr>
          <w:rFonts w:ascii="Arial" w:hAnsi="Arial"/>
          <w:b/>
          <w:color w:val="B77112"/>
          <w:sz w:val="18"/>
        </w:rPr>
        <w:t>Severity: P1 · Major</w:t>
      </w:r>
      <w:r>
        <w:rPr>
          <w:color w:val="555555"/>
          <w:sz w:val="18"/>
        </w:rPr>
        <w:t xml:space="preserve">   ·   </w:t>
      </w:r>
      <w:r>
        <w:rPr>
          <w:rFonts w:ascii="Arial" w:hAnsi="Arial"/>
          <w:b/>
          <w:color w:val="555555"/>
          <w:sz w:val="18"/>
        </w:rPr>
        <w:t>Likelihood: High</w:t>
      </w:r>
    </w:p>
    <w:p>
      <w:pPr>
        <w:spacing w:after="80"/>
      </w:pPr>
      <w:r>
        <w:rPr>
          <w:rFonts w:ascii="Arial" w:hAnsi="Arial"/>
          <w:b/>
          <w:sz w:val="20"/>
        </w:rPr>
        <w:t xml:space="preserve">Root cause. </w:t>
      </w:r>
      <w:r>
        <w:rPr>
          <w:rFonts w:ascii="Arial" w:hAnsi="Arial"/>
          <w:sz w:val="20"/>
        </w:rPr>
        <w:t>MMPM_AI_USABILITY_REVIEW.md flags this directly: until the MCP wrapper ships, "every memory operation requires Claude to construct curl, remember the API key, handle errors, parse JSON, format output." Sprint plan v2 has MCP-native as table-stakes but the signup → first-value path is not yet a single-click experience.</w:t>
      </w:r>
    </w:p>
    <w:p>
      <w:pPr>
        <w:spacing w:after="0"/>
      </w:pPr>
      <w:r>
        <w:rPr>
          <w:rFonts w:ascii="Arial" w:hAnsi="Arial"/>
          <w:b/>
          <w:sz w:val="20"/>
        </w:rPr>
        <w:t xml:space="preserve">How it plays out. </w:t>
      </w:r>
    </w:p>
    <w:p>
      <w:pPr>
        <w:spacing w:after="80"/>
      </w:pPr>
      <w:r>
        <w:rPr>
          <w:sz w:val="20"/>
        </w:rPr>
        <w:t>User signs up, gets a license key, lands on the dashboard, sees "copy your MCP config" — and then has to edit a JSON file, restart Claude Desktop, hope the MCP server resolves, and only then experience the product. Drop-off in this sequence is industry-standard 50-70%. The competing experience (Anthropic Memory: zero config, automatic) makes MMPM feel like a 2022 product. Activation rate stays under 30% and never recovers.</w:t>
      </w:r>
    </w:p>
    <w:p>
      <w:pPr>
        <w:spacing w:after="40"/>
      </w:pPr>
      <w:r>
        <w:rPr>
          <w:rFonts w:ascii="Arial" w:hAnsi="Arial"/>
          <w:b/>
          <w:color w:val="0B4A7B"/>
          <w:sz w:val="20"/>
        </w:rPr>
        <w:t xml:space="preserve">Pre-launch fix. </w:t>
      </w:r>
      <w:r>
        <w:rPr>
          <w:rFonts w:ascii="Arial" w:hAnsi="Arial"/>
          <w:sz w:val="20"/>
        </w:rPr>
        <w:t>Build a one-button "Connect to Claude" flow on the dashboard that generates the MCP config, opens it in a downloadable file, and provides a copy-paste snippet with smart defaults. Add a "first memory" guided tour: the user lands, the dashboard pre-stores a `v1.fact.welcome` atom, and the user's first interaction is calling `memory_search('welcome')` from Claude and seeing it work.</w:t>
      </w:r>
    </w:p>
    <w:p>
      <w:pPr>
        <w:spacing w:after="80"/>
      </w:pPr>
      <w:r>
        <w:rPr>
          <w:rFonts w:ascii="Arial" w:hAnsi="Arial"/>
          <w:b/>
          <w:color w:val="555555"/>
          <w:sz w:val="18"/>
        </w:rPr>
        <w:t xml:space="preserve">Effort: </w:t>
      </w:r>
      <w:r>
        <w:rPr>
          <w:rFonts w:ascii="Arial" w:hAnsi="Arial"/>
          <w:i/>
          <w:color w:val="555555"/>
          <w:sz w:val="18"/>
        </w:rPr>
        <w:t>1.5-2 days. Pairs cleanly with Sprint 2 dashboard work. Could move activation 30% → 60%.</w:t>
      </w:r>
    </w:p>
    <w:p>
      <w:pPr>
        <w:spacing w:before="280" w:after="40"/>
      </w:pPr>
      <w:r>
        <w:rPr>
          <w:rFonts w:ascii="Arial" w:hAnsi="Arial"/>
          <w:b/>
          <w:color w:val="0B4A7B"/>
          <w:sz w:val="26"/>
        </w:rPr>
        <w:t>3.3. "64% hit rate" is meaningless without a baseline</w:t>
      </w:r>
    </w:p>
    <w:p>
      <w:pPr>
        <w:spacing w:after="80"/>
      </w:pPr>
      <w:r>
        <w:rPr>
          <w:rFonts w:ascii="Arial" w:hAnsi="Arial"/>
          <w:color w:val="555555"/>
          <w:sz w:val="18"/>
        </w:rPr>
        <w:t>Category: Product, Funnel &amp; Audit Blockers</w:t>
      </w:r>
      <w:r>
        <w:rPr>
          <w:color w:val="555555"/>
          <w:sz w:val="18"/>
        </w:rPr>
        <w:t xml:space="preserve">   ·   </w:t>
      </w:r>
      <w:r>
        <w:rPr>
          <w:rFonts w:ascii="Arial" w:hAnsi="Arial"/>
          <w:b/>
          <w:color w:val="4D6B2A"/>
          <w:sz w:val="18"/>
        </w:rPr>
        <w:t>Severity: P2 · Notable</w:t>
      </w:r>
      <w:r>
        <w:rPr>
          <w:color w:val="555555"/>
          <w:sz w:val="18"/>
        </w:rPr>
        <w:t xml:space="preserve">   ·   </w:t>
      </w:r>
      <w:r>
        <w:rPr>
          <w:rFonts w:ascii="Arial" w:hAnsi="Arial"/>
          <w:b/>
          <w:color w:val="555555"/>
          <w:sz w:val="18"/>
        </w:rPr>
        <w:t>Likelihood: Medium</w:t>
      </w:r>
    </w:p>
    <w:p>
      <w:pPr>
        <w:spacing w:after="80"/>
      </w:pPr>
      <w:r>
        <w:rPr>
          <w:rFonts w:ascii="Arial" w:hAnsi="Arial"/>
          <w:b/>
          <w:sz w:val="20"/>
        </w:rPr>
        <w:t xml:space="preserve">Root cause. </w:t>
      </w:r>
      <w:r>
        <w:rPr>
          <w:rFonts w:ascii="Arial" w:hAnsi="Arial"/>
          <w:sz w:val="20"/>
        </w:rPr>
        <w:t>The homepage and JSON-LD lead with "Markov-chain prediction (64% hit rate)." 64% vs. what? Random? Recency? Vector cosine baseline? No comparison number, no benchmark methodology. Technical buyers read this as marketing-noise; non-technical buyers read it as gibberish. Lose-lose.</w:t>
      </w:r>
    </w:p>
    <w:p>
      <w:pPr>
        <w:spacing w:after="0"/>
      </w:pPr>
      <w:r>
        <w:rPr>
          <w:rFonts w:ascii="Arial" w:hAnsi="Arial"/>
          <w:b/>
          <w:sz w:val="20"/>
        </w:rPr>
        <w:t xml:space="preserve">How it plays out. </w:t>
      </w:r>
    </w:p>
    <w:p>
      <w:pPr>
        <w:spacing w:after="80"/>
      </w:pPr>
      <w:r>
        <w:rPr>
          <w:sz w:val="20"/>
        </w:rPr>
        <w:t>A skeptical engineer in a procurement evaluation asks "compared to what?" There is no answer prepared. The blog post that should publish the LongMemEval comparison never gets written because the founder is in support. "64% hit rate" persists in marketing copy through Q3 and slowly poisons the technical credibility — by the time it's removed in late 2026, the cynical-engineer narrative has already taken hold in three Slack groups MMPM cared about.</w:t>
      </w:r>
    </w:p>
    <w:p>
      <w:pPr>
        <w:spacing w:after="40"/>
      </w:pPr>
      <w:r>
        <w:rPr>
          <w:rFonts w:ascii="Arial" w:hAnsi="Arial"/>
          <w:b/>
          <w:color w:val="0B4A7B"/>
          <w:sz w:val="20"/>
        </w:rPr>
        <w:t xml:space="preserve">Pre-launch fix. </w:t>
      </w:r>
      <w:r>
        <w:rPr>
          <w:rFonts w:ascii="Arial" w:hAnsi="Arial"/>
          <w:sz w:val="20"/>
        </w:rPr>
        <w:t>Either run a public benchmark (LongMemEval against Mem0 + free MCP memory) and publish the methodology in a blog post, OR remove the bare "64% hit rate" from all copy until you can. "Sub-millisecond recall (0.045ms p50)" is a much stronger headline number — lead with it.</w:t>
      </w:r>
    </w:p>
    <w:p>
      <w:pPr>
        <w:spacing w:after="80"/>
      </w:pPr>
      <w:r>
        <w:rPr>
          <w:rFonts w:ascii="Arial" w:hAnsi="Arial"/>
          <w:b/>
          <w:color w:val="555555"/>
          <w:sz w:val="18"/>
        </w:rPr>
        <w:t xml:space="preserve">Effort: </w:t>
      </w:r>
      <w:r>
        <w:rPr>
          <w:rFonts w:ascii="Arial" w:hAnsi="Arial"/>
          <w:i/>
          <w:color w:val="555555"/>
          <w:sz w:val="18"/>
        </w:rPr>
        <w:t>Benchmark: 2-3 days. Copy edit: 1 hour. Strongly recommend running the benchmark before launch — it doubles as a marketing asset.</w:t>
      </w:r>
    </w:p>
    <w:p>
      <w:pPr>
        <w:pStyle w:val="Heading2"/>
        <w:spacing w:before="160" w:after="80"/>
      </w:pPr>
      <w:r>
        <w:t>4 · Technical &amp; Operational</w:t>
      </w:r>
    </w:p>
    <w:p>
      <w:pPr>
        <w:spacing w:before="280" w:after="40"/>
      </w:pPr>
      <w:r>
        <w:rPr>
          <w:rFonts w:ascii="Arial" w:hAnsi="Arial"/>
          <w:b/>
          <w:color w:val="0B4A7B"/>
          <w:sz w:val="26"/>
        </w:rPr>
        <w:t>4.1. Stripe webhook race condition triggers payment-processor risk review</w:t>
      </w:r>
    </w:p>
    <w:p>
      <w:pPr>
        <w:spacing w:after="80"/>
      </w:pPr>
      <w:r>
        <w:rPr>
          <w:rFonts w:ascii="Arial" w:hAnsi="Arial"/>
          <w:color w:val="555555"/>
          <w:sz w:val="18"/>
        </w:rPr>
        <w:t>Category: Technical &amp; Operational</w:t>
      </w:r>
      <w:r>
        <w:rPr>
          <w:color w:val="555555"/>
          <w:sz w:val="18"/>
        </w:rPr>
        <w:t xml:space="preserve">   ·   </w:t>
      </w:r>
      <w:r>
        <w:rPr>
          <w:rFonts w:ascii="Arial" w:hAnsi="Arial"/>
          <w:b/>
          <w:color w:val="B11F1F"/>
          <w:sz w:val="18"/>
        </w:rPr>
        <w:t>Severity: P0 · Critical</w:t>
      </w:r>
      <w:r>
        <w:rPr>
          <w:color w:val="555555"/>
          <w:sz w:val="18"/>
        </w:rPr>
        <w:t xml:space="preserve">   ·   </w:t>
      </w:r>
      <w:r>
        <w:rPr>
          <w:rFonts w:ascii="Arial" w:hAnsi="Arial"/>
          <w:b/>
          <w:color w:val="555555"/>
          <w:sz w:val="18"/>
        </w:rPr>
        <w:t>Likelihood: Medium</w:t>
      </w:r>
    </w:p>
    <w:p>
      <w:pPr>
        <w:spacing w:after="80"/>
      </w:pPr>
      <w:r>
        <w:rPr>
          <w:rFonts w:ascii="Arial" w:hAnsi="Arial"/>
          <w:b/>
          <w:sz w:val="20"/>
        </w:rPr>
        <w:t xml:space="preserve">Root cause. </w:t>
      </w:r>
      <w:r>
        <w:rPr>
          <w:rFonts w:ascii="Arial" w:hAnsi="Arial"/>
          <w:sz w:val="20"/>
        </w:rPr>
        <w:t>The technical-audit subagent flagged that idempotency lookup may not be inside the same transaction as the credit grant. Stripe retries up to 7 times with exponential backoff. The window for two webhook handlers to race-create entitlements for the same `payment_intent` is non-zero, especially under launch load. RD-05 in security-review-round3.md flags an adjacent race (closed account receiving entitlement).</w:t>
      </w:r>
    </w:p>
    <w:p>
      <w:pPr>
        <w:spacing w:after="0"/>
      </w:pPr>
      <w:r>
        <w:rPr>
          <w:rFonts w:ascii="Arial" w:hAnsi="Arial"/>
          <w:b/>
          <w:sz w:val="20"/>
        </w:rPr>
        <w:t xml:space="preserve">How it plays out. </w:t>
      </w:r>
    </w:p>
    <w:p>
      <w:pPr>
        <w:spacing w:after="80"/>
      </w:pPr>
      <w:r>
        <w:rPr>
          <w:sz w:val="20"/>
        </w:rPr>
        <w:t>First retry storm fires during a Stripe API hiccup in launch week. Two-three customers see double provisioning or double credit. One disputes the charge. Stripe's risk team reviews the merchant account; with a thin history and chargeback rate above the platform threshold, they hold payment processing for 30 days pending review. The most critical revenue month becomes a cash-receipt zero. The founder has no merchant of record fallback.</w:t>
      </w:r>
    </w:p>
    <w:p>
      <w:pPr>
        <w:spacing w:after="40"/>
      </w:pPr>
      <w:r>
        <w:rPr>
          <w:rFonts w:ascii="Arial" w:hAnsi="Arial"/>
          <w:b/>
          <w:color w:val="0B4A7B"/>
          <w:sz w:val="20"/>
        </w:rPr>
        <w:t xml:space="preserve">Pre-launch fix. </w:t>
      </w:r>
      <w:r>
        <w:rPr>
          <w:rFonts w:ascii="Arial" w:hAnsi="Arial"/>
          <w:sz w:val="20"/>
        </w:rPr>
        <w:t>(a) Read `src/api/webhooks/stripe.ts` end-to-end and verify the idempotency check is OUTSIDE the transaction and the unique-constraint INSERT happens FIRST inside it. (b) Add explicit deduplication test: simulate two concurrent webhook handlers with identical `payment_intent`, assert single grant. (c) Set up Stripe Radar with tighter pre-auth rules. (d) Pre-flight call to Stripe about expected launch volume so risk-team has context.</w:t>
      </w:r>
    </w:p>
    <w:p>
      <w:pPr>
        <w:spacing w:after="80"/>
      </w:pPr>
      <w:r>
        <w:rPr>
          <w:rFonts w:ascii="Arial" w:hAnsi="Arial"/>
          <w:b/>
          <w:color w:val="555555"/>
          <w:sz w:val="18"/>
        </w:rPr>
        <w:t xml:space="preserve">Effort: </w:t>
      </w:r>
      <w:r>
        <w:rPr>
          <w:rFonts w:ascii="Arial" w:hAnsi="Arial"/>
          <w:i/>
          <w:color w:val="555555"/>
          <w:sz w:val="18"/>
        </w:rPr>
        <w:t>Code review + test: 0.5 day. Stripe Radar tuning: 1 hr. Pre-flight email: 15 min.</w:t>
      </w:r>
    </w:p>
    <w:p>
      <w:pPr>
        <w:spacing w:before="280" w:after="40"/>
      </w:pPr>
      <w:r>
        <w:rPr>
          <w:rFonts w:ascii="Arial" w:hAnsi="Arial"/>
          <w:b/>
          <w:color w:val="0B4A7B"/>
          <w:sz w:val="26"/>
        </w:rPr>
        <w:t>4.2. The dogfooded ops substrate is a single point of failure in incident recovery</w:t>
      </w:r>
    </w:p>
    <w:p>
      <w:pPr>
        <w:spacing w:after="80"/>
      </w:pPr>
      <w:r>
        <w:rPr>
          <w:rFonts w:ascii="Arial" w:hAnsi="Arial"/>
          <w:color w:val="555555"/>
          <w:sz w:val="18"/>
        </w:rPr>
        <w:t>Category: Technical &amp; Operational</w:t>
      </w:r>
      <w:r>
        <w:rPr>
          <w:color w:val="555555"/>
          <w:sz w:val="18"/>
        </w:rPr>
        <w:t xml:space="preserve">   ·   </w:t>
      </w:r>
      <w:r>
        <w:rPr>
          <w:rFonts w:ascii="Arial" w:hAnsi="Arial"/>
          <w:b/>
          <w:color w:val="B77112"/>
          <w:sz w:val="18"/>
        </w:rPr>
        <w:t>Severity: P1 · Major</w:t>
      </w:r>
      <w:r>
        <w:rPr>
          <w:color w:val="555555"/>
          <w:sz w:val="18"/>
        </w:rPr>
        <w:t xml:space="preserve">   ·   </w:t>
      </w:r>
      <w:r>
        <w:rPr>
          <w:rFonts w:ascii="Arial" w:hAnsi="Arial"/>
          <w:b/>
          <w:color w:val="555555"/>
          <w:sz w:val="18"/>
        </w:rPr>
        <w:t>Likelihood: Medium</w:t>
      </w:r>
    </w:p>
    <w:p>
      <w:pPr>
        <w:spacing w:after="80"/>
      </w:pPr>
      <w:r>
        <w:rPr>
          <w:rFonts w:ascii="Arial" w:hAnsi="Arial"/>
          <w:b/>
          <w:sz w:val="20"/>
        </w:rPr>
        <w:t xml:space="preserve">Root cause. </w:t>
      </w:r>
      <w:r>
        <w:rPr>
          <w:rFonts w:ascii="Arial" w:hAnsi="Arial"/>
          <w:sz w:val="20"/>
        </w:rPr>
        <w:t>MMPM runs its own ops on MMPM. Critical decision history, runbooks, and recent incident learnings live in the ops substrate. The risk is NOT that MMPM going down kills MMPM (clean recovery loop). The deeper risk: the founder treats the ops substrate as both production AND test fixture, ships breaking changes against it, and the institutional memory becomes lossy at the moment it's most needed.</w:t>
      </w:r>
    </w:p>
    <w:p>
      <w:pPr>
        <w:spacing w:after="0"/>
      </w:pPr>
      <w:r>
        <w:rPr>
          <w:rFonts w:ascii="Arial" w:hAnsi="Arial"/>
          <w:b/>
          <w:sz w:val="20"/>
        </w:rPr>
        <w:t xml:space="preserve">How it plays out. </w:t>
      </w:r>
    </w:p>
    <w:p>
      <w:pPr>
        <w:spacing w:after="80"/>
      </w:pPr>
      <w:r>
        <w:rPr>
          <w:sz w:val="20"/>
        </w:rPr>
        <w:t>First production incident at T+5 weeks. Founder needs to recall what they decided about the grace-period grandfathering query (D1) in Sprint 1 — and finds the relevant atoms got overwritten during a Sprint 3 data-model change against the same ops substrate. The decision archaeology takes 2 hours instead of 5 minutes. Customer impact stretches accordingly. "MMPM runs its own ops on MMPM" stops being a moat and becomes the incident postmortem headline.</w:t>
      </w:r>
    </w:p>
    <w:p>
      <w:pPr>
        <w:spacing w:after="40"/>
      </w:pPr>
      <w:r>
        <w:rPr>
          <w:rFonts w:ascii="Arial" w:hAnsi="Arial"/>
          <w:b/>
          <w:color w:val="0B4A7B"/>
          <w:sz w:val="20"/>
        </w:rPr>
        <w:t xml:space="preserve">Pre-launch fix. </w:t>
      </w:r>
      <w:r>
        <w:rPr>
          <w:rFonts w:ascii="Arial" w:hAnsi="Arial"/>
          <w:sz w:val="20"/>
        </w:rPr>
        <w:t>(a) Snapshot the ops substrate at every sprint boundary. (b) Make ops substrate read-only for any session labelled `experiment_*` — only `production_*` sessions can write atoms. (c) Add a separate "ops-prod" substrate for runbook + incident state, distinct from "ops-dev". (d) Daily backup of the ops substrate atoms to S3-compatible storage. The dogfood pitch survives — the discipline preserves it.</w:t>
      </w:r>
    </w:p>
    <w:p>
      <w:pPr>
        <w:spacing w:after="80"/>
      </w:pPr>
      <w:r>
        <w:rPr>
          <w:rFonts w:ascii="Arial" w:hAnsi="Arial"/>
          <w:b/>
          <w:color w:val="555555"/>
          <w:sz w:val="18"/>
        </w:rPr>
        <w:t xml:space="preserve">Effort: </w:t>
      </w:r>
      <w:r>
        <w:rPr>
          <w:rFonts w:ascii="Arial" w:hAnsi="Arial"/>
          <w:i/>
          <w:color w:val="555555"/>
          <w:sz w:val="18"/>
        </w:rPr>
        <w:t>Snapshots + backup: 0.5 day. Substrate split: 0.5 day. Discipline: ongoing.</w:t>
      </w:r>
    </w:p>
    <w:p>
      <w:pPr>
        <w:spacing w:before="280" w:after="40"/>
      </w:pPr>
      <w:r>
        <w:rPr>
          <w:rFonts w:ascii="Arial" w:hAnsi="Arial"/>
          <w:b/>
          <w:color w:val="0B4A7B"/>
          <w:sz w:val="26"/>
        </w:rPr>
        <w:t>4.3. DigitalOcean concentration risk + 2GB/2vCPU droplet capacity ceiling</w:t>
      </w:r>
    </w:p>
    <w:p>
      <w:pPr>
        <w:spacing w:after="80"/>
      </w:pPr>
      <w:r>
        <w:rPr>
          <w:rFonts w:ascii="Arial" w:hAnsi="Arial"/>
          <w:color w:val="555555"/>
          <w:sz w:val="18"/>
        </w:rPr>
        <w:t>Category: Technical &amp; Operational</w:t>
      </w:r>
      <w:r>
        <w:rPr>
          <w:color w:val="555555"/>
          <w:sz w:val="18"/>
        </w:rPr>
        <w:t xml:space="preserve">   ·   </w:t>
      </w:r>
      <w:r>
        <w:rPr>
          <w:rFonts w:ascii="Arial" w:hAnsi="Arial"/>
          <w:b/>
          <w:color w:val="B77112"/>
          <w:sz w:val="18"/>
        </w:rPr>
        <w:t>Severity: P1 · Major</w:t>
      </w:r>
      <w:r>
        <w:rPr>
          <w:color w:val="555555"/>
          <w:sz w:val="18"/>
        </w:rPr>
        <w:t xml:space="preserve">   ·   </w:t>
      </w:r>
      <w:r>
        <w:rPr>
          <w:rFonts w:ascii="Arial" w:hAnsi="Arial"/>
          <w:b/>
          <w:color w:val="555555"/>
          <w:sz w:val="18"/>
        </w:rPr>
        <w:t>Likelihood: Medium</w:t>
      </w:r>
    </w:p>
    <w:p>
      <w:pPr>
        <w:spacing w:after="80"/>
      </w:pPr>
      <w:r>
        <w:rPr>
          <w:rFonts w:ascii="Arial" w:hAnsi="Arial"/>
          <w:b/>
          <w:sz w:val="20"/>
        </w:rPr>
        <w:t xml:space="preserve">Root cause. </w:t>
      </w:r>
      <w:r>
        <w:rPr>
          <w:rFonts w:ascii="Arial" w:hAnsi="Arial"/>
          <w:sz w:val="20"/>
        </w:rPr>
        <w:t>Everything is on DigitalOcean SYD1. The compute droplet is 2GB/2vCPU running 15 PM2 processes. No multi-region, no failover, no second-cloud disaster recovery. SYD1 has had multi-hour regional incidents historically.</w:t>
      </w:r>
    </w:p>
    <w:p>
      <w:pPr>
        <w:spacing w:after="0"/>
      </w:pPr>
      <w:r>
        <w:rPr>
          <w:rFonts w:ascii="Arial" w:hAnsi="Arial"/>
          <w:b/>
          <w:sz w:val="20"/>
        </w:rPr>
        <w:t xml:space="preserve">How it plays out. </w:t>
      </w:r>
    </w:p>
    <w:p>
      <w:pPr>
        <w:spacing w:after="80"/>
      </w:pPr>
      <w:r>
        <w:rPr>
          <w:sz w:val="20"/>
        </w:rPr>
        <w:t>A 4-hour DO SYD1 outage during launch week or first month is plausible (regional incidents are roughly annual). MMPM is dark for 4 hours. The status page (if it exists) does not exist. Customer trust is permanently impacted for the first cohort. The dogfooded ops substrate (4.2) makes recovery slower because the recovery runbooks live on the down system.</w:t>
      </w:r>
    </w:p>
    <w:p>
      <w:pPr>
        <w:spacing w:after="40"/>
      </w:pPr>
      <w:r>
        <w:rPr>
          <w:rFonts w:ascii="Arial" w:hAnsi="Arial"/>
          <w:b/>
          <w:color w:val="0B4A7B"/>
          <w:sz w:val="20"/>
        </w:rPr>
        <w:t xml:space="preserve">Pre-launch fix. </w:t>
      </w:r>
      <w:r>
        <w:rPr>
          <w:rFonts w:ascii="Arial" w:hAnsi="Arial"/>
          <w:sz w:val="20"/>
        </w:rPr>
        <w:t>(a) Right-size the droplet pre-launch — move to 4GB/2vCPU minimum ($24/mo upgrade). (b) Set up a status page on a separate provider (Statuspage.io free tier, or Cloudflare Workers). (c) Document a manual DR procedure to spin up a second droplet from snapshot in a different region. (d) Decide and write the customer-comms template for a regional outage NOW, not at 2am during one.</w:t>
      </w:r>
    </w:p>
    <w:p>
      <w:pPr>
        <w:spacing w:after="80"/>
      </w:pPr>
      <w:r>
        <w:rPr>
          <w:rFonts w:ascii="Arial" w:hAnsi="Arial"/>
          <w:b/>
          <w:color w:val="555555"/>
          <w:sz w:val="18"/>
        </w:rPr>
        <w:t xml:space="preserve">Effort: </w:t>
      </w:r>
      <w:r>
        <w:rPr>
          <w:rFonts w:ascii="Arial" w:hAnsi="Arial"/>
          <w:i/>
          <w:color w:val="555555"/>
          <w:sz w:val="18"/>
        </w:rPr>
        <w:t>Droplet upsize: 30 min + brief downtime window. Status page: 1 hr. DR runbook: 0.5 day.</w:t>
      </w:r>
    </w:p>
    <w:p>
      <w:pPr>
        <w:pStyle w:val="Heading2"/>
        <w:spacing w:before="160" w:after="80"/>
      </w:pPr>
      <w:r>
        <w:t>5 · Founder Capacity &amp; GTM</w:t>
      </w:r>
    </w:p>
    <w:p>
      <w:pPr>
        <w:spacing w:before="280" w:after="40"/>
      </w:pPr>
      <w:r>
        <w:rPr>
          <w:rFonts w:ascii="Arial" w:hAnsi="Arial"/>
          <w:b/>
          <w:color w:val="0B4A7B"/>
          <w:sz w:val="26"/>
        </w:rPr>
        <w:t>5.1. Solo founder cannot run support + product + GTM at launch surface area</w:t>
      </w:r>
    </w:p>
    <w:p>
      <w:pPr>
        <w:spacing w:after="80"/>
      </w:pPr>
      <w:r>
        <w:rPr>
          <w:rFonts w:ascii="Arial" w:hAnsi="Arial"/>
          <w:color w:val="555555"/>
          <w:sz w:val="18"/>
        </w:rPr>
        <w:t>Category: Founder Capacity &amp; GTM</w:t>
      </w:r>
      <w:r>
        <w:rPr>
          <w:color w:val="555555"/>
          <w:sz w:val="18"/>
        </w:rPr>
        <w:t xml:space="preserve">   ·   </w:t>
      </w:r>
      <w:r>
        <w:rPr>
          <w:rFonts w:ascii="Arial" w:hAnsi="Arial"/>
          <w:b/>
          <w:color w:val="B77112"/>
          <w:sz w:val="18"/>
        </w:rPr>
        <w:t>Severity: P1 · Major</w:t>
      </w:r>
      <w:r>
        <w:rPr>
          <w:color w:val="555555"/>
          <w:sz w:val="18"/>
        </w:rPr>
        <w:t xml:space="preserve">   ·   </w:t>
      </w:r>
      <w:r>
        <w:rPr>
          <w:rFonts w:ascii="Arial" w:hAnsi="Arial"/>
          <w:b/>
          <w:color w:val="555555"/>
          <w:sz w:val="18"/>
        </w:rPr>
        <w:t>Likelihood: High</w:t>
      </w:r>
    </w:p>
    <w:p>
      <w:pPr>
        <w:spacing w:after="80"/>
      </w:pPr>
      <w:r>
        <w:rPr>
          <w:rFonts w:ascii="Arial" w:hAnsi="Arial"/>
          <w:b/>
          <w:sz w:val="20"/>
        </w:rPr>
        <w:t xml:space="preserve">Root cause. </w:t>
      </w:r>
      <w:r>
        <w:rPr>
          <w:rFonts w:ascii="Arial" w:hAnsi="Arial"/>
          <w:sz w:val="20"/>
        </w:rPr>
        <w:t>Tiers.ts promises 48hr SLA for Solo, 24hr SLA for Pro, dedicated for Team. Audit found 16 high-friction items that, even after Sprint 1-3 fix the 8 blockers, will produce a steady stream of "why does the doc say X but the UI says Y" tickets. Six existing customers already need attention. New launch cohort multiplies the load.</w:t>
      </w:r>
    </w:p>
    <w:p>
      <w:pPr>
        <w:spacing w:after="0"/>
      </w:pPr>
      <w:r>
        <w:rPr>
          <w:rFonts w:ascii="Arial" w:hAnsi="Arial"/>
          <w:b/>
          <w:sz w:val="20"/>
        </w:rPr>
        <w:t xml:space="preserve">How it plays out. </w:t>
      </w:r>
    </w:p>
    <w:p>
      <w:pPr>
        <w:spacing w:after="80"/>
      </w:pPr>
      <w:r>
        <w:rPr>
          <w:sz w:val="20"/>
        </w:rPr>
        <w:t>By week 4 post-launch, the founder is averaging 30 hrs/week on support: refunds, onboarding edge cases, MCP config troubleshooting, billing questions. Sprint 4 (polish + verification) becomes Sprint 4 (write the same support email 30 times). Shared cluster doesn't ship in Q3 — it's now Q4. The product/marketing/sales work that would expand the funnel doesn't happen because the founder is keeping current customers afloat. Revenue plateaus at $1-2k MRR. Burnout becomes visible in the public output (blog cadence drops, social goes quiet).</w:t>
      </w:r>
    </w:p>
    <w:p>
      <w:pPr>
        <w:spacing w:after="40"/>
      </w:pPr>
      <w:r>
        <w:rPr>
          <w:rFonts w:ascii="Arial" w:hAnsi="Arial"/>
          <w:b/>
          <w:color w:val="0B4A7B"/>
          <w:sz w:val="20"/>
        </w:rPr>
        <w:t xml:space="preserve">Pre-launch fix. </w:t>
      </w:r>
      <w:r>
        <w:rPr>
          <w:rFonts w:ascii="Arial" w:hAnsi="Arial"/>
          <w:sz w:val="20"/>
        </w:rPr>
        <w:t>(a) Tighten SLA before launch: "Email support during NZ business hours, 24hr business-day response" — uniform across paid tiers. (b) Build a templated response library NOW for the top 10 expected support scenarios (audit B1-B8 + activation issues). (c) Schedule one 60-minute daily "support window" instead of letting tickets interrupt deep work. (d) Pause Starter signups if support load exceeds 15 hrs/week.</w:t>
      </w:r>
    </w:p>
    <w:p>
      <w:pPr>
        <w:spacing w:after="80"/>
      </w:pPr>
      <w:r>
        <w:rPr>
          <w:rFonts w:ascii="Arial" w:hAnsi="Arial"/>
          <w:b/>
          <w:color w:val="555555"/>
          <w:sz w:val="18"/>
        </w:rPr>
        <w:t xml:space="preserve">Effort: </w:t>
      </w:r>
      <w:r>
        <w:rPr>
          <w:rFonts w:ascii="Arial" w:hAnsi="Arial"/>
          <w:i/>
          <w:color w:val="555555"/>
          <w:sz w:val="18"/>
        </w:rPr>
        <w:t>SLA edit: 30 min. Templates: 0.5 day. Process discipline: ongoing — the highest-leverage habit.</w:t>
      </w:r>
    </w:p>
    <w:p>
      <w:pPr>
        <w:spacing w:before="280" w:after="40"/>
      </w:pPr>
      <w:r>
        <w:rPr>
          <w:rFonts w:ascii="Arial" w:hAnsi="Arial"/>
          <w:b/>
          <w:color w:val="0B4A7B"/>
          <w:sz w:val="26"/>
        </w:rPr>
        <w:t>5.2. There is no GTM motion — only SEO and dogfooded blog content</w:t>
      </w:r>
    </w:p>
    <w:p>
      <w:pPr>
        <w:spacing w:after="80"/>
      </w:pPr>
      <w:r>
        <w:rPr>
          <w:rFonts w:ascii="Arial" w:hAnsi="Arial"/>
          <w:color w:val="555555"/>
          <w:sz w:val="18"/>
        </w:rPr>
        <w:t>Category: Founder Capacity &amp; GTM</w:t>
      </w:r>
      <w:r>
        <w:rPr>
          <w:color w:val="555555"/>
          <w:sz w:val="18"/>
        </w:rPr>
        <w:t xml:space="preserve">   ·   </w:t>
      </w:r>
      <w:r>
        <w:rPr>
          <w:rFonts w:ascii="Arial" w:hAnsi="Arial"/>
          <w:b/>
          <w:color w:val="B77112"/>
          <w:sz w:val="18"/>
        </w:rPr>
        <w:t>Severity: P1 · Major</w:t>
      </w:r>
      <w:r>
        <w:rPr>
          <w:color w:val="555555"/>
          <w:sz w:val="18"/>
        </w:rPr>
        <w:t xml:space="preserve">   ·   </w:t>
      </w:r>
      <w:r>
        <w:rPr>
          <w:rFonts w:ascii="Arial" w:hAnsi="Arial"/>
          <w:b/>
          <w:color w:val="555555"/>
          <w:sz w:val="18"/>
        </w:rPr>
        <w:t>Likelihood: Medium</w:t>
      </w:r>
    </w:p>
    <w:p>
      <w:pPr>
        <w:spacing w:after="80"/>
      </w:pPr>
      <w:r>
        <w:rPr>
          <w:rFonts w:ascii="Arial" w:hAnsi="Arial"/>
          <w:b/>
          <w:sz w:val="20"/>
        </w:rPr>
        <w:t xml:space="preserve">Root cause. </w:t>
      </w:r>
      <w:r>
        <w:rPr>
          <w:rFonts w:ascii="Arial" w:hAnsi="Arial"/>
          <w:sz w:val="20"/>
        </w:rPr>
        <w:t>The marketing surface is a Next.js site, a blog, JSON-LD for SEO, and SEO keywords ("Mem0 alternative", "Zep alternative", "verifiable AI memory"). SEO is a 6-12 month motion. There is no paid acquisition, no outbound, no community presence beyond the existing personal brand, no podcast tour, no partnership pipeline.</w:t>
      </w:r>
    </w:p>
    <w:p>
      <w:pPr>
        <w:spacing w:after="0"/>
      </w:pPr>
      <w:r>
        <w:rPr>
          <w:rFonts w:ascii="Arial" w:hAnsi="Arial"/>
          <w:b/>
          <w:sz w:val="20"/>
        </w:rPr>
        <w:t xml:space="preserve">How it plays out. </w:t>
      </w:r>
    </w:p>
    <w:p>
      <w:pPr>
        <w:spacing w:after="80"/>
      </w:pPr>
      <w:r>
        <w:rPr>
          <w:sz w:val="20"/>
        </w:rPr>
        <w:t>Launch week traffic comes from the founder's existing audience and one Hacker News post. After the launch spike (a few hundred unique visitors, 30-40 signups), traffic decays. "Mem0 alternative" SEO doesn't rank until late 2026 — and by then Mem0 v2 has shipped, the SERP has shifted, and MMPM's ranking is for a query that is already losing volume to "context engineering platform." The funnel narrows to zero by Q4.</w:t>
      </w:r>
    </w:p>
    <w:p>
      <w:pPr>
        <w:spacing w:after="40"/>
      </w:pPr>
      <w:r>
        <w:rPr>
          <w:rFonts w:ascii="Arial" w:hAnsi="Arial"/>
          <w:b/>
          <w:color w:val="0B4A7B"/>
          <w:sz w:val="20"/>
        </w:rPr>
        <w:t xml:space="preserve">Pre-launch fix. </w:t>
      </w:r>
      <w:r>
        <w:rPr>
          <w:rFonts w:ascii="Arial" w:hAnsi="Arial"/>
          <w:sz w:val="20"/>
        </w:rPr>
        <w:t>(a) Plan ONE launch moment with multiple coordinated assets: HN post, Show Newsletter, ProductHunt, three podcast appearances. Calendar them now. (b) Write three case studies in advance — even if they're internal ("How we use MMPM to ship MMPM") that look like customer ones. (c) Build a public benchmark page (LongMemEval vs Mem0 + free MCP) — these get linked by aggregators. (d) Set a 90-day post-launch decision: if MRR &lt; $X, the GTM motion needs a contractor or a co-founder.</w:t>
      </w:r>
    </w:p>
    <w:p>
      <w:pPr>
        <w:spacing w:after="80"/>
      </w:pPr>
      <w:r>
        <w:rPr>
          <w:rFonts w:ascii="Arial" w:hAnsi="Arial"/>
          <w:b/>
          <w:color w:val="555555"/>
          <w:sz w:val="18"/>
        </w:rPr>
        <w:t xml:space="preserve">Effort: </w:t>
      </w:r>
      <w:r>
        <w:rPr>
          <w:rFonts w:ascii="Arial" w:hAnsi="Arial"/>
          <w:i/>
          <w:color w:val="555555"/>
          <w:sz w:val="18"/>
        </w:rPr>
        <w:t>Launch moment planning: 1 day. Case studies: 1 day. Benchmark page: 2-3 days. The decision: hard but unavoidable.</w:t>
      </w:r>
    </w:p>
    <w:p>
      <w:pPr>
        <w:pStyle w:val="Heading2"/>
        <w:spacing w:before="160" w:after="80"/>
      </w:pPr>
      <w:r>
        <w:t>6 · Security, Compliance &amp; Trust</w:t>
      </w:r>
    </w:p>
    <w:p>
      <w:pPr>
        <w:spacing w:before="280" w:after="40"/>
      </w:pPr>
      <w:r>
        <w:rPr>
          <w:rFonts w:ascii="Arial" w:hAnsi="Arial"/>
          <w:b/>
          <w:color w:val="0B4A7B"/>
          <w:sz w:val="26"/>
        </w:rPr>
        <w:t>6.1. Documentation as legal liability under EU consumer protection</w:t>
      </w:r>
    </w:p>
    <w:p>
      <w:pPr>
        <w:spacing w:after="80"/>
      </w:pPr>
      <w:r>
        <w:rPr>
          <w:rFonts w:ascii="Arial" w:hAnsi="Arial"/>
          <w:color w:val="555555"/>
          <w:sz w:val="18"/>
        </w:rPr>
        <w:t>Category: Security, Compliance &amp; Trust</w:t>
      </w:r>
      <w:r>
        <w:rPr>
          <w:color w:val="555555"/>
          <w:sz w:val="18"/>
        </w:rPr>
        <w:t xml:space="preserve">   ·   </w:t>
      </w:r>
      <w:r>
        <w:rPr>
          <w:rFonts w:ascii="Arial" w:hAnsi="Arial"/>
          <w:b/>
          <w:color w:val="B77112"/>
          <w:sz w:val="18"/>
        </w:rPr>
        <w:t>Severity: P1 · Major</w:t>
      </w:r>
      <w:r>
        <w:rPr>
          <w:color w:val="555555"/>
          <w:sz w:val="18"/>
        </w:rPr>
        <w:t xml:space="preserve">   ·   </w:t>
      </w:r>
      <w:r>
        <w:rPr>
          <w:rFonts w:ascii="Arial" w:hAnsi="Arial"/>
          <w:b/>
          <w:color w:val="555555"/>
          <w:sz w:val="18"/>
        </w:rPr>
        <w:t>Likelihood: Medium</w:t>
      </w:r>
    </w:p>
    <w:p>
      <w:pPr>
        <w:spacing w:after="80"/>
      </w:pPr>
      <w:r>
        <w:rPr>
          <w:rFonts w:ascii="Arial" w:hAnsi="Arial"/>
          <w:b/>
          <w:sz w:val="20"/>
        </w:rPr>
        <w:t xml:space="preserve">Root cause. </w:t>
      </w:r>
      <w:r>
        <w:rPr>
          <w:rFonts w:ascii="Arial" w:hAnsi="Arial"/>
          <w:sz w:val="20"/>
        </w:rPr>
        <w:t>The audit identified marketing copy promising features the code does not have: 14-day free trial (B1), 5 substrates on Team (B4), self-service spend caps (B6), in-dashboard upgrade flow (B7). Under EU consumer law and GDPR-adjacent regimes, marketing copy is binding. A single complaint to a Member State data-protection authority over the trial mismatch is regulatory drag a solo founder cannot absorb.</w:t>
      </w:r>
    </w:p>
    <w:p>
      <w:pPr>
        <w:spacing w:after="0"/>
      </w:pPr>
      <w:r>
        <w:rPr>
          <w:rFonts w:ascii="Arial" w:hAnsi="Arial"/>
          <w:b/>
          <w:sz w:val="20"/>
        </w:rPr>
        <w:t xml:space="preserve">How it plays out. </w:t>
      </w:r>
    </w:p>
    <w:p>
      <w:pPr>
        <w:spacing w:after="80"/>
      </w:pPr>
      <w:r>
        <w:rPr>
          <w:sz w:val="20"/>
        </w:rPr>
        <w:t>A frustrated EU customer charged $5 on day 1 (despite reading "14-day free trial") files a complaint with their local DPA. The DPA opens a routine inquiry — not a fine, but a 6-week back-and-forth requiring written responses, evidence of remediation, and a documented complaints process. Founder spends 2 days/week on the response. One inquiry becomes two becomes three. Time-to-MRR-growth is measured in weeks lost.</w:t>
      </w:r>
    </w:p>
    <w:p>
      <w:pPr>
        <w:spacing w:after="40"/>
      </w:pPr>
      <w:r>
        <w:rPr>
          <w:rFonts w:ascii="Arial" w:hAnsi="Arial"/>
          <w:b/>
          <w:color w:val="0B4A7B"/>
          <w:sz w:val="20"/>
        </w:rPr>
        <w:t xml:space="preserve">Pre-launch fix. </w:t>
      </w:r>
      <w:r>
        <w:rPr>
          <w:rFonts w:ascii="Arial" w:hAnsi="Arial"/>
          <w:sz w:val="20"/>
        </w:rPr>
        <w:t>(a) Sprint 1 must close ALL audit blockers that involve marketing/docs/code drift — not most of them. (b) Add a "truth in advertising" CI check (the sprint plan's check-pricing-content.mjs and check-docs-vs-canonical.mjs guards) — make these blocking on PR. (c) Publish a clear refund/complaint policy and link it from every page footer. (d) Monitor mentions of MMPM + "refund" + "trial" in social weekly.</w:t>
      </w:r>
    </w:p>
    <w:p>
      <w:pPr>
        <w:spacing w:after="80"/>
      </w:pPr>
      <w:r>
        <w:rPr>
          <w:rFonts w:ascii="Arial" w:hAnsi="Arial"/>
          <w:b/>
          <w:color w:val="555555"/>
          <w:sz w:val="18"/>
        </w:rPr>
        <w:t xml:space="preserve">Effort: </w:t>
      </w:r>
      <w:r>
        <w:rPr>
          <w:rFonts w:ascii="Arial" w:hAnsi="Arial"/>
          <w:i/>
          <w:color w:val="555555"/>
          <w:sz w:val="18"/>
        </w:rPr>
        <w:t>Most of this is in the sprint plan. The risk is scope creep eating it. Process discipline is the fix.</w:t>
      </w:r>
    </w:p>
    <w:p>
      <w:pPr>
        <w:spacing w:before="280" w:after="40"/>
      </w:pPr>
      <w:r>
        <w:rPr>
          <w:rFonts w:ascii="Arial" w:hAnsi="Arial"/>
          <w:b/>
          <w:color w:val="0B4A7B"/>
          <w:sz w:val="26"/>
        </w:rPr>
        <w:t>6.2. Multi-tenant isolation in the SaaS control plane is unverified</w:t>
      </w:r>
    </w:p>
    <w:p>
      <w:pPr>
        <w:spacing w:after="80"/>
      </w:pPr>
      <w:r>
        <w:rPr>
          <w:rFonts w:ascii="Arial" w:hAnsi="Arial"/>
          <w:color w:val="555555"/>
          <w:sz w:val="18"/>
        </w:rPr>
        <w:t>Category: Security, Compliance &amp; Trust</w:t>
      </w:r>
      <w:r>
        <w:rPr>
          <w:color w:val="555555"/>
          <w:sz w:val="18"/>
        </w:rPr>
        <w:t xml:space="preserve">   ·   </w:t>
      </w:r>
      <w:r>
        <w:rPr>
          <w:rFonts w:ascii="Arial" w:hAnsi="Arial"/>
          <w:b/>
          <w:color w:val="B77112"/>
          <w:sz w:val="18"/>
        </w:rPr>
        <w:t>Severity: P1 · Major</w:t>
      </w:r>
      <w:r>
        <w:rPr>
          <w:color w:val="555555"/>
          <w:sz w:val="18"/>
        </w:rPr>
        <w:t xml:space="preserve">   ·   </w:t>
      </w:r>
      <w:r>
        <w:rPr>
          <w:rFonts w:ascii="Arial" w:hAnsi="Arial"/>
          <w:b/>
          <w:color w:val="555555"/>
          <w:sz w:val="18"/>
        </w:rPr>
        <w:t>Likelihood: Low</w:t>
      </w:r>
    </w:p>
    <w:p>
      <w:pPr>
        <w:spacing w:after="80"/>
      </w:pPr>
      <w:r>
        <w:rPr>
          <w:rFonts w:ascii="Arial" w:hAnsi="Arial"/>
          <w:b/>
          <w:sz w:val="20"/>
        </w:rPr>
        <w:t xml:space="preserve">Root cause. </w:t>
      </w:r>
      <w:r>
        <w:rPr>
          <w:rFonts w:ascii="Arial" w:hAnsi="Arial"/>
          <w:sz w:val="20"/>
        </w:rPr>
        <w:t>MMPM data-plane isolation is good (one droplet per dedicated customer). The SaaS control plane (parametric-memory-compute) is NOT one droplet per customer — it manages all customers' billing, entitlements, and substrate metadata in shared Postgres. Account-ownership middleware exists; whether every route consistently scopes by accountId before returning resource data has not been independently verified.</w:t>
      </w:r>
    </w:p>
    <w:p>
      <w:pPr>
        <w:spacing w:after="0"/>
      </w:pPr>
      <w:r>
        <w:rPr>
          <w:rFonts w:ascii="Arial" w:hAnsi="Arial"/>
          <w:b/>
          <w:sz w:val="20"/>
        </w:rPr>
        <w:t xml:space="preserve">How it plays out. </w:t>
      </w:r>
    </w:p>
    <w:p>
      <w:pPr>
        <w:spacing w:after="80"/>
      </w:pPr>
      <w:r>
        <w:rPr>
          <w:sz w:val="20"/>
        </w:rPr>
        <w:t>An advanced customer (or, more likely, an automated security researcher running ZAP against the public API after launch) discovers a route that does not scope by accountId. They responsibly disclose. The remediation is straightforward; the public reputation hit is not. "MMPM Pre-Launch IDOR Bug Found in Day 3" is the wrong launch headline, regardless of how minor the actual exposure was.</w:t>
      </w:r>
    </w:p>
    <w:p>
      <w:pPr>
        <w:spacing w:after="40"/>
      </w:pPr>
      <w:r>
        <w:rPr>
          <w:rFonts w:ascii="Arial" w:hAnsi="Arial"/>
          <w:b/>
          <w:color w:val="0B4A7B"/>
          <w:sz w:val="20"/>
        </w:rPr>
        <w:t xml:space="preserve">Pre-launch fix. </w:t>
      </w:r>
      <w:r>
        <w:rPr>
          <w:rFonts w:ascii="Arial" w:hAnsi="Arial"/>
          <w:sz w:val="20"/>
        </w:rPr>
        <w:t>(a) Run an automated IDOR test against staging: as customer-A, attempt every documented route with customer-B's resource IDs in the URL. Assert 403/404 on all. (b) Add a regression test that fails CI if any new route is merged without an account-ownership assertion. (c) Run ZAP active-scan against staging before launch (zap-reports directory exists — actually use it).</w:t>
      </w:r>
    </w:p>
    <w:p>
      <w:pPr>
        <w:spacing w:after="80"/>
      </w:pPr>
      <w:r>
        <w:rPr>
          <w:rFonts w:ascii="Arial" w:hAnsi="Arial"/>
          <w:b/>
          <w:color w:val="555555"/>
          <w:sz w:val="18"/>
        </w:rPr>
        <w:t xml:space="preserve">Effort: </w:t>
      </w:r>
      <w:r>
        <w:rPr>
          <w:rFonts w:ascii="Arial" w:hAnsi="Arial"/>
          <w:i/>
          <w:color w:val="555555"/>
          <w:sz w:val="18"/>
        </w:rPr>
        <w:t>0.5 day for the IDOR test sweep. ZAP scan: 2 hours. Regression hook: 1 hour.</w:t>
      </w:r>
    </w:p>
    <w:p>
      <w:r>
        <w:br w:type="page"/>
      </w:r>
    </w:p>
    <w:p>
      <w:pPr>
        <w:pStyle w:val="Heading1"/>
        <w:spacing w:after="160"/>
      </w:pPr>
      <w:r>
        <w:t>The ONE Thing — if you only do one of these</w:t>
      </w:r>
    </w:p>
    <w:p>
      <w:pPr>
        <w:spacing w:after="120"/>
      </w:pPr>
      <w:r>
        <w:rPr>
          <w:rFonts w:ascii="Arial" w:hAnsi="Arial"/>
          <w:b/>
          <w:color w:val="0B4A7B"/>
          <w:sz w:val="28"/>
        </w:rPr>
        <w:t>Kill the Starter tier for launch.</w:t>
      </w:r>
    </w:p>
    <w:p>
      <w:pPr>
        <w:spacing w:after="200"/>
      </w:pPr>
      <w:r>
        <w:rPr>
          <w:i/>
          <w:sz w:val="24"/>
        </w:rPr>
        <w:t>Make Solo $9 the floor. Pro $29 the wedge. Team $79 the upsell. Enterprise the compliance ladder.</w:t>
      </w:r>
    </w:p>
    <w:p>
      <w:pPr>
        <w:spacing w:after="80"/>
      </w:pPr>
      <w:r>
        <w:t>This single change does five things at once:</w:t>
      </w:r>
    </w:p>
    <w:p>
      <w:pPr>
        <w:pStyle w:val="ListBullet"/>
        <w:spacing w:after="40"/>
        <w:ind w:left="360"/>
      </w:pPr>
      <w:r>
        <w:t>Eliminates the Starter unit-economics bleed (CAT-2.1) — no more $5-on-$24-droplet structural loss.</w:t>
      </w:r>
    </w:p>
    <w:p>
      <w:pPr>
        <w:pStyle w:val="ListBullet"/>
        <w:spacing w:after="40"/>
        <w:ind w:left="360"/>
      </w:pPr>
      <w:r>
        <w:t>Forces wedge clarity (CAT-1.1) — you stop competing with free Anthropic memory at the bottom of the funnel.</w:t>
      </w:r>
    </w:p>
    <w:p>
      <w:pPr>
        <w:pStyle w:val="ListBullet"/>
        <w:spacing w:after="40"/>
        <w:ind w:left="360"/>
      </w:pPr>
      <w:r>
        <w:t>Makes the shared-cluster Q3 deferral (D13) a non-issue — Solo $9 can carry a slim margin on dedicated.</w:t>
      </w:r>
    </w:p>
    <w:p>
      <w:pPr>
        <w:pStyle w:val="ListBullet"/>
        <w:spacing w:after="40"/>
        <w:ind w:left="360"/>
      </w:pPr>
      <w:r>
        <w:t>Pre-empts the existing-customer chargeback risk — your 6 existing Solo customers stay whole and unchanged.</w:t>
      </w:r>
    </w:p>
    <w:p>
      <w:pPr>
        <w:pStyle w:val="ListBullet"/>
        <w:spacing w:after="40"/>
        <w:ind w:left="360"/>
      </w:pPr>
      <w:r>
        <w:t>Reduces the support load by self-selecting against $5 tire-kickers who hit every audit blocker first.</w:t>
      </w:r>
    </w:p>
    <w:p>
      <w:pPr>
        <w:spacing w:before="160" w:after="80"/>
      </w:pPr>
      <w:r>
        <w:t>The pitch becomes one sentence:</w:t>
      </w:r>
    </w:p>
    <w:p>
      <w:pPr>
        <w:spacing w:after="200"/>
      </w:pPr>
      <w:r>
        <w:rPr>
          <w:rFonts w:ascii="Arial" w:hAnsi="Arial"/>
          <w:b/>
          <w:i/>
          <w:color w:val="0B4A7B"/>
          <w:sz w:val="26"/>
        </w:rPr>
        <w:t>"Verifiable, predictive memory for AI agents that need an audit trail. From $9."</w:t>
      </w:r>
    </w:p>
    <w:p>
      <w:pPr>
        <w:spacing w:after="80"/>
      </w:pPr>
      <w:r>
        <w:rPr>
          <w:i/>
          <w:color w:val="555555"/>
        </w:rPr>
        <w:t>One ICP, one number, one sentence. Everything else in the sprint plan stays — but it has a coherent product to ship into.</w:t>
      </w:r>
    </w:p>
    <w:p>
      <w:r>
        <w:br w:type="page"/>
      </w:r>
    </w:p>
    <w:p>
      <w:pPr>
        <w:pStyle w:val="Heading1"/>
        <w:spacing w:after="80"/>
      </w:pPr>
      <w:r>
        <w:t>Pre-Launch Fix Matrix</w:t>
      </w:r>
    </w:p>
    <w:p>
      <w:pPr>
        <w:spacing w:after="160"/>
      </w:pPr>
      <w:r>
        <w:rPr>
          <w:i/>
          <w:color w:val="555555"/>
        </w:rPr>
        <w:t>Sorted by impact ÷ effort. Items already in sprint plan v2 are marked "in plan." Items NOT in sprint plan are explicit additions this premortem proposes.</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1008"/>
            <w:shd w:val="clear" w:color="auto" w:fill="0B4A7B"/>
            <w:tcMar>
              <w:top w:w="80" w:type="dxa"/>
              <w:bottom w:w="80" w:type="dxa"/>
              <w:left w:w="120" w:type="dxa"/>
              <w:right w:w="120" w:type="dxa"/>
            </w:tcMar>
          </w:tcPr>
          <w:p>
            <w:r/>
            <w:r>
              <w:rPr>
                <w:rFonts w:ascii="Arial" w:hAnsi="Arial"/>
                <w:b/>
                <w:color w:val="FFFFFF"/>
                <w:sz w:val="20"/>
              </w:rPr>
              <w:t>Scenario</w:t>
            </w:r>
          </w:p>
        </w:tc>
        <w:tc>
          <w:tcPr>
            <w:tcW w:type="dxa" w:w="4320"/>
            <w:shd w:val="clear" w:color="auto" w:fill="0B4A7B"/>
            <w:tcMar>
              <w:top w:w="80" w:type="dxa"/>
              <w:bottom w:w="80" w:type="dxa"/>
              <w:left w:w="120" w:type="dxa"/>
              <w:right w:w="120" w:type="dxa"/>
            </w:tcMar>
          </w:tcPr>
          <w:p>
            <w:r/>
            <w:r>
              <w:rPr>
                <w:rFonts w:ascii="Arial" w:hAnsi="Arial"/>
                <w:b/>
                <w:color w:val="FFFFFF"/>
                <w:sz w:val="20"/>
              </w:rPr>
              <w:t>Fix</w:t>
            </w:r>
          </w:p>
        </w:tc>
        <w:tc>
          <w:tcPr>
            <w:tcW w:type="dxa" w:w="1224"/>
            <w:shd w:val="clear" w:color="auto" w:fill="0B4A7B"/>
            <w:tcMar>
              <w:top w:w="80" w:type="dxa"/>
              <w:bottom w:w="80" w:type="dxa"/>
              <w:left w:w="120" w:type="dxa"/>
              <w:right w:w="120" w:type="dxa"/>
            </w:tcMar>
          </w:tcPr>
          <w:p>
            <w:r/>
            <w:r>
              <w:rPr>
                <w:rFonts w:ascii="Arial" w:hAnsi="Arial"/>
                <w:b/>
                <w:color w:val="FFFFFF"/>
                <w:sz w:val="20"/>
              </w:rPr>
              <w:t>Impact</w:t>
            </w:r>
          </w:p>
        </w:tc>
        <w:tc>
          <w:tcPr>
            <w:tcW w:type="dxa" w:w="1224"/>
            <w:shd w:val="clear" w:color="auto" w:fill="0B4A7B"/>
            <w:tcMar>
              <w:top w:w="80" w:type="dxa"/>
              <w:bottom w:w="80" w:type="dxa"/>
              <w:left w:w="120" w:type="dxa"/>
              <w:right w:w="120" w:type="dxa"/>
            </w:tcMar>
          </w:tcPr>
          <w:p>
            <w:r/>
            <w:r>
              <w:rPr>
                <w:rFonts w:ascii="Arial" w:hAnsi="Arial"/>
                <w:b/>
                <w:color w:val="FFFFFF"/>
                <w:sz w:val="20"/>
              </w:rPr>
              <w:t>Effort</w:t>
            </w:r>
          </w:p>
        </w:tc>
        <w:tc>
          <w:tcPr>
            <w:tcW w:type="dxa" w:w="1584"/>
            <w:shd w:val="clear" w:color="auto" w:fill="0B4A7B"/>
            <w:tcMar>
              <w:top w:w="80" w:type="dxa"/>
              <w:bottom w:w="80" w:type="dxa"/>
              <w:left w:w="120" w:type="dxa"/>
              <w:right w:w="120" w:type="dxa"/>
            </w:tcMar>
          </w:tcPr>
          <w:p>
            <w:r/>
            <w:r>
              <w:rPr>
                <w:rFonts w:ascii="Arial" w:hAnsi="Arial"/>
                <w:b/>
                <w:color w:val="FFFFFF"/>
                <w:sz w:val="20"/>
              </w:rPr>
              <w:t>In plan?</w:t>
            </w:r>
          </w:p>
        </w:tc>
      </w:tr>
      <w:tr>
        <w:tc>
          <w:tcPr>
            <w:tcW w:type="dxa" w:w="1008"/>
            <w:tcMar>
              <w:top w:w="80" w:type="dxa"/>
              <w:bottom w:w="80" w:type="dxa"/>
              <w:left w:w="120" w:type="dxa"/>
              <w:right w:w="120" w:type="dxa"/>
            </w:tcMar>
          </w:tcPr>
          <w:p>
            <w:r/>
            <w:r>
              <w:rPr>
                <w:rFonts w:ascii="Arial" w:hAnsi="Arial"/>
                <w:sz w:val="19"/>
              </w:rPr>
              <w:t>1.1 / 1.2</w:t>
            </w:r>
          </w:p>
        </w:tc>
        <w:tc>
          <w:tcPr>
            <w:tcW w:type="dxa" w:w="4320"/>
            <w:tcMar>
              <w:top w:w="80" w:type="dxa"/>
              <w:bottom w:w="80" w:type="dxa"/>
              <w:left w:w="120" w:type="dxa"/>
              <w:right w:w="120" w:type="dxa"/>
            </w:tcMar>
          </w:tcPr>
          <w:p>
            <w:r/>
            <w:r>
              <w:rPr>
                <w:rFonts w:ascii="Arial" w:hAnsi="Arial"/>
                <w:sz w:val="19"/>
              </w:rPr>
              <w:t>Reposition homepage to single audit-grade wedge; demote Markov; demote $5</w:t>
            </w:r>
          </w:p>
        </w:tc>
        <w:tc>
          <w:tcPr>
            <w:tcW w:type="dxa" w:w="1224"/>
            <w:tcMar>
              <w:top w:w="80" w:type="dxa"/>
              <w:bottom w:w="80" w:type="dxa"/>
              <w:left w:w="120" w:type="dxa"/>
              <w:right w:w="120" w:type="dxa"/>
            </w:tcMar>
          </w:tcPr>
          <w:p>
            <w:r/>
            <w:r>
              <w:rPr>
                <w:rFonts w:ascii="Arial" w:hAnsi="Arial"/>
                <w:b/>
                <w:color w:val="B11F1F"/>
                <w:sz w:val="19"/>
              </w:rPr>
              <w:t>Massive</w:t>
            </w:r>
          </w:p>
        </w:tc>
        <w:tc>
          <w:tcPr>
            <w:tcW w:type="dxa" w:w="1224"/>
            <w:tcMar>
              <w:top w:w="80" w:type="dxa"/>
              <w:bottom w:w="80" w:type="dxa"/>
              <w:left w:w="120" w:type="dxa"/>
              <w:right w:w="120" w:type="dxa"/>
            </w:tcMar>
          </w:tcPr>
          <w:p>
            <w:r/>
            <w:r>
              <w:rPr>
                <w:rFonts w:ascii="Arial" w:hAnsi="Arial"/>
                <w:sz w:val="19"/>
              </w:rPr>
              <w:t>1-2d</w:t>
            </w:r>
          </w:p>
        </w:tc>
        <w:tc>
          <w:tcPr>
            <w:tcW w:type="dxa" w:w="1584"/>
            <w:tcMar>
              <w:top w:w="80" w:type="dxa"/>
              <w:bottom w:w="80" w:type="dxa"/>
              <w:left w:w="120" w:type="dxa"/>
              <w:right w:w="120" w:type="dxa"/>
            </w:tcMar>
          </w:tcPr>
          <w:p>
            <w:r/>
            <w:r>
              <w:rPr>
                <w:rFonts w:ascii="Arial" w:hAnsi="Arial"/>
                <w:color w:val="B11F1F"/>
                <w:sz w:val="19"/>
              </w:rPr>
              <w:t>No — propose</w:t>
            </w:r>
          </w:p>
        </w:tc>
      </w:tr>
      <w:tr>
        <w:tc>
          <w:tcPr>
            <w:tcW w:type="dxa" w:w="1008"/>
            <w:shd w:val="clear" w:color="auto" w:fill="F4F6F9"/>
            <w:tcMar>
              <w:top w:w="80" w:type="dxa"/>
              <w:bottom w:w="80" w:type="dxa"/>
              <w:left w:w="120" w:type="dxa"/>
              <w:right w:w="120" w:type="dxa"/>
            </w:tcMar>
          </w:tcPr>
          <w:p>
            <w:r/>
            <w:r>
              <w:rPr>
                <w:rFonts w:ascii="Arial" w:hAnsi="Arial"/>
                <w:sz w:val="19"/>
              </w:rPr>
              <w:t>2.1 / 2.2</w:t>
            </w:r>
          </w:p>
        </w:tc>
        <w:tc>
          <w:tcPr>
            <w:tcW w:type="dxa" w:w="4320"/>
            <w:shd w:val="clear" w:color="auto" w:fill="F4F6F9"/>
            <w:tcMar>
              <w:top w:w="80" w:type="dxa"/>
              <w:bottom w:w="80" w:type="dxa"/>
              <w:left w:w="120" w:type="dxa"/>
              <w:right w:w="120" w:type="dxa"/>
            </w:tcMar>
          </w:tcPr>
          <w:p>
            <w:r/>
            <w:r>
              <w:rPr>
                <w:rFonts w:ascii="Arial" w:hAnsi="Arial"/>
                <w:sz w:val="19"/>
              </w:rPr>
              <w:t>Kill Starter tier for launch; collapse to Solo / Pro / Team</w:t>
            </w:r>
          </w:p>
        </w:tc>
        <w:tc>
          <w:tcPr>
            <w:tcW w:type="dxa" w:w="1224"/>
            <w:shd w:val="clear" w:color="auto" w:fill="F4F6F9"/>
            <w:tcMar>
              <w:top w:w="80" w:type="dxa"/>
              <w:bottom w:w="80" w:type="dxa"/>
              <w:left w:w="120" w:type="dxa"/>
              <w:right w:w="120" w:type="dxa"/>
            </w:tcMar>
          </w:tcPr>
          <w:p>
            <w:r/>
            <w:r>
              <w:rPr>
                <w:rFonts w:ascii="Arial" w:hAnsi="Arial"/>
                <w:b/>
                <w:color w:val="B11F1F"/>
                <w:sz w:val="19"/>
              </w:rPr>
              <w:t>Massive</w:t>
            </w:r>
          </w:p>
        </w:tc>
        <w:tc>
          <w:tcPr>
            <w:tcW w:type="dxa" w:w="1224"/>
            <w:shd w:val="clear" w:color="auto" w:fill="F4F6F9"/>
            <w:tcMar>
              <w:top w:w="80" w:type="dxa"/>
              <w:bottom w:w="80" w:type="dxa"/>
              <w:left w:w="120" w:type="dxa"/>
              <w:right w:w="120" w:type="dxa"/>
            </w:tcMar>
          </w:tcPr>
          <w:p>
            <w:r/>
            <w:r>
              <w:rPr>
                <w:rFonts w:ascii="Arial" w:hAnsi="Arial"/>
                <w:sz w:val="19"/>
              </w:rPr>
              <w:t>0.5d</w:t>
            </w:r>
          </w:p>
        </w:tc>
        <w:tc>
          <w:tcPr>
            <w:tcW w:type="dxa" w:w="1584"/>
            <w:shd w:val="clear" w:color="auto" w:fill="F4F6F9"/>
            <w:tcMar>
              <w:top w:w="80" w:type="dxa"/>
              <w:bottom w:w="80" w:type="dxa"/>
              <w:left w:w="120" w:type="dxa"/>
              <w:right w:w="120" w:type="dxa"/>
            </w:tcMar>
          </w:tcPr>
          <w:p>
            <w:r/>
            <w:r>
              <w:rPr>
                <w:rFonts w:ascii="Arial" w:hAnsi="Arial"/>
                <w:color w:val="B11F1F"/>
                <w:sz w:val="19"/>
              </w:rPr>
              <w:t>No — propose</w:t>
            </w:r>
          </w:p>
        </w:tc>
      </w:tr>
      <w:tr>
        <w:tc>
          <w:tcPr>
            <w:tcW w:type="dxa" w:w="1008"/>
            <w:tcMar>
              <w:top w:w="80" w:type="dxa"/>
              <w:bottom w:w="80" w:type="dxa"/>
              <w:left w:w="120" w:type="dxa"/>
              <w:right w:w="120" w:type="dxa"/>
            </w:tcMar>
          </w:tcPr>
          <w:p>
            <w:r/>
            <w:r>
              <w:rPr>
                <w:rFonts w:ascii="Arial" w:hAnsi="Arial"/>
                <w:sz w:val="19"/>
              </w:rPr>
              <w:t>3.1</w:t>
            </w:r>
          </w:p>
        </w:tc>
        <w:tc>
          <w:tcPr>
            <w:tcW w:type="dxa" w:w="4320"/>
            <w:tcMar>
              <w:top w:w="80" w:type="dxa"/>
              <w:bottom w:w="80" w:type="dxa"/>
              <w:left w:w="120" w:type="dxa"/>
              <w:right w:w="120" w:type="dxa"/>
            </w:tcMar>
          </w:tcPr>
          <w:p>
            <w:r/>
            <w:r>
              <w:rPr>
                <w:rFonts w:ascii="Arial" w:hAnsi="Arial"/>
                <w:sz w:val="19"/>
              </w:rPr>
              <w:t>Sprint-end audit-fix verification gate (non-author walk-through)</w:t>
            </w:r>
          </w:p>
        </w:tc>
        <w:tc>
          <w:tcPr>
            <w:tcW w:type="dxa" w:w="1224"/>
            <w:tcMar>
              <w:top w:w="80" w:type="dxa"/>
              <w:bottom w:w="80" w:type="dxa"/>
              <w:left w:w="120" w:type="dxa"/>
              <w:right w:w="120" w:type="dxa"/>
            </w:tcMar>
          </w:tcPr>
          <w:p>
            <w:r/>
            <w:r>
              <w:rPr>
                <w:rFonts w:ascii="Arial" w:hAnsi="Arial"/>
                <w:b/>
                <w:color w:val="B77112"/>
                <w:sz w:val="19"/>
              </w:rPr>
              <w:t>High</w:t>
            </w:r>
          </w:p>
        </w:tc>
        <w:tc>
          <w:tcPr>
            <w:tcW w:type="dxa" w:w="1224"/>
            <w:tcMar>
              <w:top w:w="80" w:type="dxa"/>
              <w:bottom w:w="80" w:type="dxa"/>
              <w:left w:w="120" w:type="dxa"/>
              <w:right w:w="120" w:type="dxa"/>
            </w:tcMar>
          </w:tcPr>
          <w:p>
            <w:r/>
            <w:r>
              <w:rPr>
                <w:rFonts w:ascii="Arial" w:hAnsi="Arial"/>
                <w:sz w:val="19"/>
              </w:rPr>
              <w:t>Process</w:t>
            </w:r>
          </w:p>
        </w:tc>
        <w:tc>
          <w:tcPr>
            <w:tcW w:type="dxa" w:w="1584"/>
            <w:tcMar>
              <w:top w:w="80" w:type="dxa"/>
              <w:bottom w:w="80" w:type="dxa"/>
              <w:left w:w="120" w:type="dxa"/>
              <w:right w:w="120" w:type="dxa"/>
            </w:tcMar>
          </w:tcPr>
          <w:p>
            <w:r/>
            <w:r>
              <w:rPr>
                <w:rFonts w:ascii="Arial" w:hAnsi="Arial"/>
                <w:color w:val="B11F1F"/>
                <w:sz w:val="19"/>
              </w:rPr>
              <w:t>No — propose</w:t>
            </w:r>
          </w:p>
        </w:tc>
      </w:tr>
      <w:tr>
        <w:tc>
          <w:tcPr>
            <w:tcW w:type="dxa" w:w="1008"/>
            <w:shd w:val="clear" w:color="auto" w:fill="F4F6F9"/>
            <w:tcMar>
              <w:top w:w="80" w:type="dxa"/>
              <w:bottom w:w="80" w:type="dxa"/>
              <w:left w:w="120" w:type="dxa"/>
              <w:right w:w="120" w:type="dxa"/>
            </w:tcMar>
          </w:tcPr>
          <w:p>
            <w:r/>
            <w:r>
              <w:rPr>
                <w:rFonts w:ascii="Arial" w:hAnsi="Arial"/>
                <w:sz w:val="19"/>
              </w:rPr>
              <w:t>3.2</w:t>
            </w:r>
          </w:p>
        </w:tc>
        <w:tc>
          <w:tcPr>
            <w:tcW w:type="dxa" w:w="4320"/>
            <w:shd w:val="clear" w:color="auto" w:fill="F4F6F9"/>
            <w:tcMar>
              <w:top w:w="80" w:type="dxa"/>
              <w:bottom w:w="80" w:type="dxa"/>
              <w:left w:w="120" w:type="dxa"/>
              <w:right w:w="120" w:type="dxa"/>
            </w:tcMar>
          </w:tcPr>
          <w:p>
            <w:r/>
            <w:r>
              <w:rPr>
                <w:rFonts w:ascii="Arial" w:hAnsi="Arial"/>
                <w:sz w:val="19"/>
              </w:rPr>
              <w:t>One-button 'Connect to Claude' + first-memory guided tour</w:t>
            </w:r>
          </w:p>
        </w:tc>
        <w:tc>
          <w:tcPr>
            <w:tcW w:type="dxa" w:w="1224"/>
            <w:shd w:val="clear" w:color="auto" w:fill="F4F6F9"/>
            <w:tcMar>
              <w:top w:w="80" w:type="dxa"/>
              <w:bottom w:w="80" w:type="dxa"/>
              <w:left w:w="120" w:type="dxa"/>
              <w:right w:w="120" w:type="dxa"/>
            </w:tcMar>
          </w:tcPr>
          <w:p>
            <w:r/>
            <w:r>
              <w:rPr>
                <w:rFonts w:ascii="Arial" w:hAnsi="Arial"/>
                <w:b/>
                <w:color w:val="B77112"/>
                <w:sz w:val="19"/>
              </w:rPr>
              <w:t>High</w:t>
            </w:r>
          </w:p>
        </w:tc>
        <w:tc>
          <w:tcPr>
            <w:tcW w:type="dxa" w:w="1224"/>
            <w:shd w:val="clear" w:color="auto" w:fill="F4F6F9"/>
            <w:tcMar>
              <w:top w:w="80" w:type="dxa"/>
              <w:bottom w:w="80" w:type="dxa"/>
              <w:left w:w="120" w:type="dxa"/>
              <w:right w:w="120" w:type="dxa"/>
            </w:tcMar>
          </w:tcPr>
          <w:p>
            <w:r/>
            <w:r>
              <w:rPr>
                <w:rFonts w:ascii="Arial" w:hAnsi="Arial"/>
                <w:sz w:val="19"/>
              </w:rPr>
              <w:t>1.5-2d</w:t>
            </w:r>
          </w:p>
        </w:tc>
        <w:tc>
          <w:tcPr>
            <w:tcW w:type="dxa" w:w="1584"/>
            <w:shd w:val="clear" w:color="auto" w:fill="F4F6F9"/>
            <w:tcMar>
              <w:top w:w="80" w:type="dxa"/>
              <w:bottom w:w="80" w:type="dxa"/>
              <w:left w:w="120" w:type="dxa"/>
              <w:right w:w="120" w:type="dxa"/>
            </w:tcMar>
          </w:tcPr>
          <w:p>
            <w:r/>
            <w:r>
              <w:rPr>
                <w:rFonts w:ascii="Arial" w:hAnsi="Arial"/>
                <w:sz w:val="19"/>
              </w:rPr>
              <w:t>Partial</w:t>
            </w:r>
          </w:p>
        </w:tc>
      </w:tr>
      <w:tr>
        <w:tc>
          <w:tcPr>
            <w:tcW w:type="dxa" w:w="1008"/>
            <w:tcMar>
              <w:top w:w="80" w:type="dxa"/>
              <w:bottom w:w="80" w:type="dxa"/>
              <w:left w:w="120" w:type="dxa"/>
              <w:right w:w="120" w:type="dxa"/>
            </w:tcMar>
          </w:tcPr>
          <w:p>
            <w:r/>
            <w:r>
              <w:rPr>
                <w:rFonts w:ascii="Arial" w:hAnsi="Arial"/>
                <w:sz w:val="19"/>
              </w:rPr>
              <w:t>4.1</w:t>
            </w:r>
          </w:p>
        </w:tc>
        <w:tc>
          <w:tcPr>
            <w:tcW w:type="dxa" w:w="4320"/>
            <w:tcMar>
              <w:top w:w="80" w:type="dxa"/>
              <w:bottom w:w="80" w:type="dxa"/>
              <w:left w:w="120" w:type="dxa"/>
              <w:right w:w="120" w:type="dxa"/>
            </w:tcMar>
          </w:tcPr>
          <w:p>
            <w:r/>
            <w:r>
              <w:rPr>
                <w:rFonts w:ascii="Arial" w:hAnsi="Arial"/>
                <w:sz w:val="19"/>
              </w:rPr>
              <w:t>Verify Stripe webhook idempotency outside the txn; add concurrent-webhook test</w:t>
            </w:r>
          </w:p>
        </w:tc>
        <w:tc>
          <w:tcPr>
            <w:tcW w:type="dxa" w:w="1224"/>
            <w:tcMar>
              <w:top w:w="80" w:type="dxa"/>
              <w:bottom w:w="80" w:type="dxa"/>
              <w:left w:w="120" w:type="dxa"/>
              <w:right w:w="120" w:type="dxa"/>
            </w:tcMar>
          </w:tcPr>
          <w:p>
            <w:r/>
            <w:r>
              <w:rPr>
                <w:rFonts w:ascii="Arial" w:hAnsi="Arial"/>
                <w:b/>
                <w:color w:val="B77112"/>
                <w:sz w:val="19"/>
              </w:rPr>
              <w:t>High</w:t>
            </w:r>
          </w:p>
        </w:tc>
        <w:tc>
          <w:tcPr>
            <w:tcW w:type="dxa" w:w="1224"/>
            <w:tcMar>
              <w:top w:w="80" w:type="dxa"/>
              <w:bottom w:w="80" w:type="dxa"/>
              <w:left w:w="120" w:type="dxa"/>
              <w:right w:w="120" w:type="dxa"/>
            </w:tcMar>
          </w:tcPr>
          <w:p>
            <w:r/>
            <w:r>
              <w:rPr>
                <w:rFonts w:ascii="Arial" w:hAnsi="Arial"/>
                <w:sz w:val="19"/>
              </w:rPr>
              <w:t>0.5d</w:t>
            </w:r>
          </w:p>
        </w:tc>
        <w:tc>
          <w:tcPr>
            <w:tcW w:type="dxa" w:w="1584"/>
            <w:tcMar>
              <w:top w:w="80" w:type="dxa"/>
              <w:bottom w:w="80" w:type="dxa"/>
              <w:left w:w="120" w:type="dxa"/>
              <w:right w:w="120" w:type="dxa"/>
            </w:tcMar>
          </w:tcPr>
          <w:p>
            <w:r/>
            <w:r>
              <w:rPr>
                <w:rFonts w:ascii="Arial" w:hAnsi="Arial"/>
                <w:sz w:val="19"/>
              </w:rPr>
              <w:t>Partial</w:t>
            </w:r>
          </w:p>
        </w:tc>
      </w:tr>
      <w:tr>
        <w:tc>
          <w:tcPr>
            <w:tcW w:type="dxa" w:w="1008"/>
            <w:shd w:val="clear" w:color="auto" w:fill="F4F6F9"/>
            <w:tcMar>
              <w:top w:w="80" w:type="dxa"/>
              <w:bottom w:w="80" w:type="dxa"/>
              <w:left w:w="120" w:type="dxa"/>
              <w:right w:w="120" w:type="dxa"/>
            </w:tcMar>
          </w:tcPr>
          <w:p>
            <w:r/>
            <w:r>
              <w:rPr>
                <w:rFonts w:ascii="Arial" w:hAnsi="Arial"/>
                <w:sz w:val="19"/>
              </w:rPr>
              <w:t>5.1</w:t>
            </w:r>
          </w:p>
        </w:tc>
        <w:tc>
          <w:tcPr>
            <w:tcW w:type="dxa" w:w="4320"/>
            <w:shd w:val="clear" w:color="auto" w:fill="F4F6F9"/>
            <w:tcMar>
              <w:top w:w="80" w:type="dxa"/>
              <w:bottom w:w="80" w:type="dxa"/>
              <w:left w:w="120" w:type="dxa"/>
              <w:right w:w="120" w:type="dxa"/>
            </w:tcMar>
          </w:tcPr>
          <w:p>
            <w:r/>
            <w:r>
              <w:rPr>
                <w:rFonts w:ascii="Arial" w:hAnsi="Arial"/>
                <w:sz w:val="19"/>
              </w:rPr>
              <w:t>Write top-10 templated support responses; daily support window discipline</w:t>
            </w:r>
          </w:p>
        </w:tc>
        <w:tc>
          <w:tcPr>
            <w:tcW w:type="dxa" w:w="1224"/>
            <w:shd w:val="clear" w:color="auto" w:fill="F4F6F9"/>
            <w:tcMar>
              <w:top w:w="80" w:type="dxa"/>
              <w:bottom w:w="80" w:type="dxa"/>
              <w:left w:w="120" w:type="dxa"/>
              <w:right w:w="120" w:type="dxa"/>
            </w:tcMar>
          </w:tcPr>
          <w:p>
            <w:r/>
            <w:r>
              <w:rPr>
                <w:rFonts w:ascii="Arial" w:hAnsi="Arial"/>
                <w:b/>
                <w:color w:val="B77112"/>
                <w:sz w:val="19"/>
              </w:rPr>
              <w:t>High</w:t>
            </w:r>
          </w:p>
        </w:tc>
        <w:tc>
          <w:tcPr>
            <w:tcW w:type="dxa" w:w="1224"/>
            <w:shd w:val="clear" w:color="auto" w:fill="F4F6F9"/>
            <w:tcMar>
              <w:top w:w="80" w:type="dxa"/>
              <w:bottom w:w="80" w:type="dxa"/>
              <w:left w:w="120" w:type="dxa"/>
              <w:right w:w="120" w:type="dxa"/>
            </w:tcMar>
          </w:tcPr>
          <w:p>
            <w:r/>
            <w:r>
              <w:rPr>
                <w:rFonts w:ascii="Arial" w:hAnsi="Arial"/>
                <w:sz w:val="19"/>
              </w:rPr>
              <w:t>0.5d</w:t>
            </w:r>
          </w:p>
        </w:tc>
        <w:tc>
          <w:tcPr>
            <w:tcW w:type="dxa" w:w="1584"/>
            <w:shd w:val="clear" w:color="auto" w:fill="F4F6F9"/>
            <w:tcMar>
              <w:top w:w="80" w:type="dxa"/>
              <w:bottom w:w="80" w:type="dxa"/>
              <w:left w:w="120" w:type="dxa"/>
              <w:right w:w="120" w:type="dxa"/>
            </w:tcMar>
          </w:tcPr>
          <w:p>
            <w:r/>
            <w:r>
              <w:rPr>
                <w:rFonts w:ascii="Arial" w:hAnsi="Arial"/>
                <w:color w:val="B11F1F"/>
                <w:sz w:val="19"/>
              </w:rPr>
              <w:t>No — propose</w:t>
            </w:r>
          </w:p>
        </w:tc>
      </w:tr>
      <w:tr>
        <w:tc>
          <w:tcPr>
            <w:tcW w:type="dxa" w:w="1008"/>
            <w:tcMar>
              <w:top w:w="80" w:type="dxa"/>
              <w:bottom w:w="80" w:type="dxa"/>
              <w:left w:w="120" w:type="dxa"/>
              <w:right w:w="120" w:type="dxa"/>
            </w:tcMar>
          </w:tcPr>
          <w:p>
            <w:r/>
            <w:r>
              <w:rPr>
                <w:rFonts w:ascii="Arial" w:hAnsi="Arial"/>
                <w:sz w:val="19"/>
              </w:rPr>
              <w:t>4.3</w:t>
            </w:r>
          </w:p>
        </w:tc>
        <w:tc>
          <w:tcPr>
            <w:tcW w:type="dxa" w:w="4320"/>
            <w:tcMar>
              <w:top w:w="80" w:type="dxa"/>
              <w:bottom w:w="80" w:type="dxa"/>
              <w:left w:w="120" w:type="dxa"/>
              <w:right w:w="120" w:type="dxa"/>
            </w:tcMar>
          </w:tcPr>
          <w:p>
            <w:r/>
            <w:r>
              <w:rPr>
                <w:rFonts w:ascii="Arial" w:hAnsi="Arial"/>
                <w:sz w:val="19"/>
              </w:rPr>
              <w:t>Right-size compute droplet to 4GB; status page on third-party</w:t>
            </w:r>
          </w:p>
        </w:tc>
        <w:tc>
          <w:tcPr>
            <w:tcW w:type="dxa" w:w="1224"/>
            <w:tcMar>
              <w:top w:w="80" w:type="dxa"/>
              <w:bottom w:w="80" w:type="dxa"/>
              <w:left w:w="120" w:type="dxa"/>
              <w:right w:w="120" w:type="dxa"/>
            </w:tcMar>
          </w:tcPr>
          <w:p>
            <w:r/>
            <w:r>
              <w:rPr>
                <w:rFonts w:ascii="Arial" w:hAnsi="Arial"/>
                <w:b/>
                <w:color w:val="B77112"/>
                <w:sz w:val="19"/>
              </w:rPr>
              <w:t>High</w:t>
            </w:r>
          </w:p>
        </w:tc>
        <w:tc>
          <w:tcPr>
            <w:tcW w:type="dxa" w:w="1224"/>
            <w:tcMar>
              <w:top w:w="80" w:type="dxa"/>
              <w:bottom w:w="80" w:type="dxa"/>
              <w:left w:w="120" w:type="dxa"/>
              <w:right w:w="120" w:type="dxa"/>
            </w:tcMar>
          </w:tcPr>
          <w:p>
            <w:r/>
            <w:r>
              <w:rPr>
                <w:rFonts w:ascii="Arial" w:hAnsi="Arial"/>
                <w:sz w:val="19"/>
              </w:rPr>
              <w:t>1-2 hrs</w:t>
            </w:r>
          </w:p>
        </w:tc>
        <w:tc>
          <w:tcPr>
            <w:tcW w:type="dxa" w:w="1584"/>
            <w:tcMar>
              <w:top w:w="80" w:type="dxa"/>
              <w:bottom w:w="80" w:type="dxa"/>
              <w:left w:w="120" w:type="dxa"/>
              <w:right w:w="120" w:type="dxa"/>
            </w:tcMar>
          </w:tcPr>
          <w:p>
            <w:r/>
            <w:r>
              <w:rPr>
                <w:rFonts w:ascii="Arial" w:hAnsi="Arial"/>
                <w:color w:val="B11F1F"/>
                <w:sz w:val="19"/>
              </w:rPr>
              <w:t>No — propose</w:t>
            </w:r>
          </w:p>
        </w:tc>
      </w:tr>
      <w:tr>
        <w:tc>
          <w:tcPr>
            <w:tcW w:type="dxa" w:w="1008"/>
            <w:shd w:val="clear" w:color="auto" w:fill="F4F6F9"/>
            <w:tcMar>
              <w:top w:w="80" w:type="dxa"/>
              <w:bottom w:w="80" w:type="dxa"/>
              <w:left w:w="120" w:type="dxa"/>
              <w:right w:w="120" w:type="dxa"/>
            </w:tcMar>
          </w:tcPr>
          <w:p>
            <w:r/>
            <w:r>
              <w:rPr>
                <w:rFonts w:ascii="Arial" w:hAnsi="Arial"/>
                <w:sz w:val="19"/>
              </w:rPr>
              <w:t>2.3</w:t>
            </w:r>
          </w:p>
        </w:tc>
        <w:tc>
          <w:tcPr>
            <w:tcW w:type="dxa" w:w="4320"/>
            <w:shd w:val="clear" w:color="auto" w:fill="F4F6F9"/>
            <w:tcMar>
              <w:top w:w="80" w:type="dxa"/>
              <w:bottom w:w="80" w:type="dxa"/>
              <w:left w:w="120" w:type="dxa"/>
              <w:right w:w="120" w:type="dxa"/>
            </w:tcMar>
          </w:tcPr>
          <w:p>
            <w:r/>
            <w:r>
              <w:rPr>
                <w:rFonts w:ascii="Arial" w:hAnsi="Arial"/>
                <w:sz w:val="19"/>
              </w:rPr>
              <w:t>Reconcile spend-caps docs with reality OR ship MVP UI in Sprint 2</w:t>
            </w:r>
          </w:p>
        </w:tc>
        <w:tc>
          <w:tcPr>
            <w:tcW w:type="dxa" w:w="1224"/>
            <w:shd w:val="clear" w:color="auto" w:fill="F4F6F9"/>
            <w:tcMar>
              <w:top w:w="80" w:type="dxa"/>
              <w:bottom w:w="80" w:type="dxa"/>
              <w:left w:w="120" w:type="dxa"/>
              <w:right w:w="120" w:type="dxa"/>
            </w:tcMar>
          </w:tcPr>
          <w:p>
            <w:r/>
            <w:r>
              <w:rPr>
                <w:rFonts w:ascii="Arial" w:hAnsi="Arial"/>
                <w:b/>
                <w:color w:val="4D6B2A"/>
                <w:sz w:val="19"/>
              </w:rPr>
              <w:t>Medium</w:t>
            </w:r>
          </w:p>
        </w:tc>
        <w:tc>
          <w:tcPr>
            <w:tcW w:type="dxa" w:w="1224"/>
            <w:shd w:val="clear" w:color="auto" w:fill="F4F6F9"/>
            <w:tcMar>
              <w:top w:w="80" w:type="dxa"/>
              <w:bottom w:w="80" w:type="dxa"/>
              <w:left w:w="120" w:type="dxa"/>
              <w:right w:w="120" w:type="dxa"/>
            </w:tcMar>
          </w:tcPr>
          <w:p>
            <w:r/>
            <w:r>
              <w:rPr>
                <w:rFonts w:ascii="Arial" w:hAnsi="Arial"/>
                <w:sz w:val="19"/>
              </w:rPr>
              <w:t>0.5-2d</w:t>
            </w:r>
          </w:p>
        </w:tc>
        <w:tc>
          <w:tcPr>
            <w:tcW w:type="dxa" w:w="1584"/>
            <w:shd w:val="clear" w:color="auto" w:fill="F4F6F9"/>
            <w:tcMar>
              <w:top w:w="80" w:type="dxa"/>
              <w:bottom w:w="80" w:type="dxa"/>
              <w:left w:w="120" w:type="dxa"/>
              <w:right w:w="120" w:type="dxa"/>
            </w:tcMar>
          </w:tcPr>
          <w:p>
            <w:r/>
            <w:r>
              <w:rPr>
                <w:rFonts w:ascii="Arial" w:hAnsi="Arial"/>
                <w:sz w:val="19"/>
              </w:rPr>
              <w:t>Yes — D12</w:t>
            </w:r>
          </w:p>
        </w:tc>
      </w:tr>
      <w:tr>
        <w:tc>
          <w:tcPr>
            <w:tcW w:type="dxa" w:w="1008"/>
            <w:tcMar>
              <w:top w:w="80" w:type="dxa"/>
              <w:bottom w:w="80" w:type="dxa"/>
              <w:left w:w="120" w:type="dxa"/>
              <w:right w:w="120" w:type="dxa"/>
            </w:tcMar>
          </w:tcPr>
          <w:p>
            <w:r/>
            <w:r>
              <w:rPr>
                <w:rFonts w:ascii="Arial" w:hAnsi="Arial"/>
                <w:sz w:val="19"/>
              </w:rPr>
              <w:t>4.2</w:t>
            </w:r>
          </w:p>
        </w:tc>
        <w:tc>
          <w:tcPr>
            <w:tcW w:type="dxa" w:w="4320"/>
            <w:tcMar>
              <w:top w:w="80" w:type="dxa"/>
              <w:bottom w:w="80" w:type="dxa"/>
              <w:left w:w="120" w:type="dxa"/>
              <w:right w:w="120" w:type="dxa"/>
            </w:tcMar>
          </w:tcPr>
          <w:p>
            <w:r/>
            <w:r>
              <w:rPr>
                <w:rFonts w:ascii="Arial" w:hAnsi="Arial"/>
                <w:sz w:val="19"/>
              </w:rPr>
              <w:t>Snapshot ops substrate at sprint boundaries; ops-prod / ops-dev split</w:t>
            </w:r>
          </w:p>
        </w:tc>
        <w:tc>
          <w:tcPr>
            <w:tcW w:type="dxa" w:w="1224"/>
            <w:tcMar>
              <w:top w:w="80" w:type="dxa"/>
              <w:bottom w:w="80" w:type="dxa"/>
              <w:left w:w="120" w:type="dxa"/>
              <w:right w:w="120" w:type="dxa"/>
            </w:tcMar>
          </w:tcPr>
          <w:p>
            <w:r/>
            <w:r>
              <w:rPr>
                <w:rFonts w:ascii="Arial" w:hAnsi="Arial"/>
                <w:b/>
                <w:color w:val="4D6B2A"/>
                <w:sz w:val="19"/>
              </w:rPr>
              <w:t>Medium</w:t>
            </w:r>
          </w:p>
        </w:tc>
        <w:tc>
          <w:tcPr>
            <w:tcW w:type="dxa" w:w="1224"/>
            <w:tcMar>
              <w:top w:w="80" w:type="dxa"/>
              <w:bottom w:w="80" w:type="dxa"/>
              <w:left w:w="120" w:type="dxa"/>
              <w:right w:w="120" w:type="dxa"/>
            </w:tcMar>
          </w:tcPr>
          <w:p>
            <w:r/>
            <w:r>
              <w:rPr>
                <w:rFonts w:ascii="Arial" w:hAnsi="Arial"/>
                <w:sz w:val="19"/>
              </w:rPr>
              <w:t>0.5d</w:t>
            </w:r>
          </w:p>
        </w:tc>
        <w:tc>
          <w:tcPr>
            <w:tcW w:type="dxa" w:w="1584"/>
            <w:tcMar>
              <w:top w:w="80" w:type="dxa"/>
              <w:bottom w:w="80" w:type="dxa"/>
              <w:left w:w="120" w:type="dxa"/>
              <w:right w:w="120" w:type="dxa"/>
            </w:tcMar>
          </w:tcPr>
          <w:p>
            <w:r/>
            <w:r>
              <w:rPr>
                <w:rFonts w:ascii="Arial" w:hAnsi="Arial"/>
                <w:color w:val="B11F1F"/>
                <w:sz w:val="19"/>
              </w:rPr>
              <w:t>No — propose</w:t>
            </w:r>
          </w:p>
        </w:tc>
      </w:tr>
      <w:tr>
        <w:tc>
          <w:tcPr>
            <w:tcW w:type="dxa" w:w="1008"/>
            <w:shd w:val="clear" w:color="auto" w:fill="F4F6F9"/>
            <w:tcMar>
              <w:top w:w="80" w:type="dxa"/>
              <w:bottom w:w="80" w:type="dxa"/>
              <w:left w:w="120" w:type="dxa"/>
              <w:right w:w="120" w:type="dxa"/>
            </w:tcMar>
          </w:tcPr>
          <w:p>
            <w:r/>
            <w:r>
              <w:rPr>
                <w:rFonts w:ascii="Arial" w:hAnsi="Arial"/>
                <w:sz w:val="19"/>
              </w:rPr>
              <w:t>3.3</w:t>
            </w:r>
          </w:p>
        </w:tc>
        <w:tc>
          <w:tcPr>
            <w:tcW w:type="dxa" w:w="4320"/>
            <w:shd w:val="clear" w:color="auto" w:fill="F4F6F9"/>
            <w:tcMar>
              <w:top w:w="80" w:type="dxa"/>
              <w:bottom w:w="80" w:type="dxa"/>
              <w:left w:w="120" w:type="dxa"/>
              <w:right w:w="120" w:type="dxa"/>
            </w:tcMar>
          </w:tcPr>
          <w:p>
            <w:r/>
            <w:r>
              <w:rPr>
                <w:rFonts w:ascii="Arial" w:hAnsi="Arial"/>
                <w:sz w:val="19"/>
              </w:rPr>
              <w:t>Run public LongMemEval benchmark vs Mem0 + free MCP; publish methodology</w:t>
            </w:r>
          </w:p>
        </w:tc>
        <w:tc>
          <w:tcPr>
            <w:tcW w:type="dxa" w:w="1224"/>
            <w:shd w:val="clear" w:color="auto" w:fill="F4F6F9"/>
            <w:tcMar>
              <w:top w:w="80" w:type="dxa"/>
              <w:bottom w:w="80" w:type="dxa"/>
              <w:left w:w="120" w:type="dxa"/>
              <w:right w:w="120" w:type="dxa"/>
            </w:tcMar>
          </w:tcPr>
          <w:p>
            <w:r/>
            <w:r>
              <w:rPr>
                <w:rFonts w:ascii="Arial" w:hAnsi="Arial"/>
                <w:b/>
                <w:color w:val="4D6B2A"/>
                <w:sz w:val="19"/>
              </w:rPr>
              <w:t>Medium</w:t>
            </w:r>
          </w:p>
        </w:tc>
        <w:tc>
          <w:tcPr>
            <w:tcW w:type="dxa" w:w="1224"/>
            <w:shd w:val="clear" w:color="auto" w:fill="F4F6F9"/>
            <w:tcMar>
              <w:top w:w="80" w:type="dxa"/>
              <w:bottom w:w="80" w:type="dxa"/>
              <w:left w:w="120" w:type="dxa"/>
              <w:right w:w="120" w:type="dxa"/>
            </w:tcMar>
          </w:tcPr>
          <w:p>
            <w:r/>
            <w:r>
              <w:rPr>
                <w:rFonts w:ascii="Arial" w:hAnsi="Arial"/>
                <w:sz w:val="19"/>
              </w:rPr>
              <w:t>2-3d</w:t>
            </w:r>
          </w:p>
        </w:tc>
        <w:tc>
          <w:tcPr>
            <w:tcW w:type="dxa" w:w="1584"/>
            <w:shd w:val="clear" w:color="auto" w:fill="F4F6F9"/>
            <w:tcMar>
              <w:top w:w="80" w:type="dxa"/>
              <w:bottom w:w="80" w:type="dxa"/>
              <w:left w:w="120" w:type="dxa"/>
              <w:right w:w="120" w:type="dxa"/>
            </w:tcMar>
          </w:tcPr>
          <w:p>
            <w:r/>
            <w:r>
              <w:rPr>
                <w:rFonts w:ascii="Arial" w:hAnsi="Arial"/>
                <w:color w:val="B11F1F"/>
                <w:sz w:val="19"/>
              </w:rPr>
              <w:t>No — propose</w:t>
            </w:r>
          </w:p>
        </w:tc>
      </w:tr>
      <w:tr>
        <w:tc>
          <w:tcPr>
            <w:tcW w:type="dxa" w:w="1008"/>
            <w:tcMar>
              <w:top w:w="80" w:type="dxa"/>
              <w:bottom w:w="80" w:type="dxa"/>
              <w:left w:w="120" w:type="dxa"/>
              <w:right w:w="120" w:type="dxa"/>
            </w:tcMar>
          </w:tcPr>
          <w:p>
            <w:r/>
            <w:r>
              <w:rPr>
                <w:rFonts w:ascii="Arial" w:hAnsi="Arial"/>
                <w:sz w:val="19"/>
              </w:rPr>
              <w:t>5.2</w:t>
            </w:r>
          </w:p>
        </w:tc>
        <w:tc>
          <w:tcPr>
            <w:tcW w:type="dxa" w:w="4320"/>
            <w:tcMar>
              <w:top w:w="80" w:type="dxa"/>
              <w:bottom w:w="80" w:type="dxa"/>
              <w:left w:w="120" w:type="dxa"/>
              <w:right w:w="120" w:type="dxa"/>
            </w:tcMar>
          </w:tcPr>
          <w:p>
            <w:r/>
            <w:r>
              <w:rPr>
                <w:rFonts w:ascii="Arial" w:hAnsi="Arial"/>
                <w:sz w:val="19"/>
              </w:rPr>
              <w:t>Plan one coordinated launch moment (HN + PH + 3 podcasts); 90-day GTM gate</w:t>
            </w:r>
          </w:p>
        </w:tc>
        <w:tc>
          <w:tcPr>
            <w:tcW w:type="dxa" w:w="1224"/>
            <w:tcMar>
              <w:top w:w="80" w:type="dxa"/>
              <w:bottom w:w="80" w:type="dxa"/>
              <w:left w:w="120" w:type="dxa"/>
              <w:right w:w="120" w:type="dxa"/>
            </w:tcMar>
          </w:tcPr>
          <w:p>
            <w:r/>
            <w:r>
              <w:rPr>
                <w:rFonts w:ascii="Arial" w:hAnsi="Arial"/>
                <w:b/>
                <w:color w:val="4D6B2A"/>
                <w:sz w:val="19"/>
              </w:rPr>
              <w:t>Medium</w:t>
            </w:r>
          </w:p>
        </w:tc>
        <w:tc>
          <w:tcPr>
            <w:tcW w:type="dxa" w:w="1224"/>
            <w:tcMar>
              <w:top w:w="80" w:type="dxa"/>
              <w:bottom w:w="80" w:type="dxa"/>
              <w:left w:w="120" w:type="dxa"/>
              <w:right w:w="120" w:type="dxa"/>
            </w:tcMar>
          </w:tcPr>
          <w:p>
            <w:r/>
            <w:r>
              <w:rPr>
                <w:rFonts w:ascii="Arial" w:hAnsi="Arial"/>
                <w:sz w:val="19"/>
              </w:rPr>
              <w:t>1d</w:t>
            </w:r>
          </w:p>
        </w:tc>
        <w:tc>
          <w:tcPr>
            <w:tcW w:type="dxa" w:w="1584"/>
            <w:tcMar>
              <w:top w:w="80" w:type="dxa"/>
              <w:bottom w:w="80" w:type="dxa"/>
              <w:left w:w="120" w:type="dxa"/>
              <w:right w:w="120" w:type="dxa"/>
            </w:tcMar>
          </w:tcPr>
          <w:p>
            <w:r/>
            <w:r>
              <w:rPr>
                <w:rFonts w:ascii="Arial" w:hAnsi="Arial"/>
                <w:color w:val="B11F1F"/>
                <w:sz w:val="19"/>
              </w:rPr>
              <w:t>No — propose</w:t>
            </w:r>
          </w:p>
        </w:tc>
      </w:tr>
      <w:tr>
        <w:tc>
          <w:tcPr>
            <w:tcW w:type="dxa" w:w="1008"/>
            <w:shd w:val="clear" w:color="auto" w:fill="F4F6F9"/>
            <w:tcMar>
              <w:top w:w="80" w:type="dxa"/>
              <w:bottom w:w="80" w:type="dxa"/>
              <w:left w:w="120" w:type="dxa"/>
              <w:right w:w="120" w:type="dxa"/>
            </w:tcMar>
          </w:tcPr>
          <w:p>
            <w:r/>
            <w:r>
              <w:rPr>
                <w:rFonts w:ascii="Arial" w:hAnsi="Arial"/>
                <w:sz w:val="19"/>
              </w:rPr>
              <w:t>6.1</w:t>
            </w:r>
          </w:p>
        </w:tc>
        <w:tc>
          <w:tcPr>
            <w:tcW w:type="dxa" w:w="4320"/>
            <w:shd w:val="clear" w:color="auto" w:fill="F4F6F9"/>
            <w:tcMar>
              <w:top w:w="80" w:type="dxa"/>
              <w:bottom w:w="80" w:type="dxa"/>
              <w:left w:w="120" w:type="dxa"/>
              <w:right w:w="120" w:type="dxa"/>
            </w:tcMar>
          </w:tcPr>
          <w:p>
            <w:r/>
            <w:r>
              <w:rPr>
                <w:rFonts w:ascii="Arial" w:hAnsi="Arial"/>
                <w:sz w:val="19"/>
              </w:rPr>
              <w:t>Make check-pricing-content.mjs + check-docs-vs-canonical.mjs blocking guards</w:t>
            </w:r>
          </w:p>
        </w:tc>
        <w:tc>
          <w:tcPr>
            <w:tcW w:type="dxa" w:w="1224"/>
            <w:shd w:val="clear" w:color="auto" w:fill="F4F6F9"/>
            <w:tcMar>
              <w:top w:w="80" w:type="dxa"/>
              <w:bottom w:w="80" w:type="dxa"/>
              <w:left w:w="120" w:type="dxa"/>
              <w:right w:w="120" w:type="dxa"/>
            </w:tcMar>
          </w:tcPr>
          <w:p>
            <w:r/>
            <w:r>
              <w:rPr>
                <w:rFonts w:ascii="Arial" w:hAnsi="Arial"/>
                <w:b/>
                <w:color w:val="4D6B2A"/>
                <w:sz w:val="19"/>
              </w:rPr>
              <w:t>Medium</w:t>
            </w:r>
          </w:p>
        </w:tc>
        <w:tc>
          <w:tcPr>
            <w:tcW w:type="dxa" w:w="1224"/>
            <w:shd w:val="clear" w:color="auto" w:fill="F4F6F9"/>
            <w:tcMar>
              <w:top w:w="80" w:type="dxa"/>
              <w:bottom w:w="80" w:type="dxa"/>
              <w:left w:w="120" w:type="dxa"/>
              <w:right w:w="120" w:type="dxa"/>
            </w:tcMar>
          </w:tcPr>
          <w:p>
            <w:r/>
            <w:r>
              <w:rPr>
                <w:rFonts w:ascii="Arial" w:hAnsi="Arial"/>
                <w:sz w:val="19"/>
              </w:rPr>
              <w:t>Process</w:t>
            </w:r>
          </w:p>
        </w:tc>
        <w:tc>
          <w:tcPr>
            <w:tcW w:type="dxa" w:w="1584"/>
            <w:shd w:val="clear" w:color="auto" w:fill="F4F6F9"/>
            <w:tcMar>
              <w:top w:w="80" w:type="dxa"/>
              <w:bottom w:w="80" w:type="dxa"/>
              <w:left w:w="120" w:type="dxa"/>
              <w:right w:w="120" w:type="dxa"/>
            </w:tcMar>
          </w:tcPr>
          <w:p>
            <w:r/>
            <w:r>
              <w:rPr>
                <w:rFonts w:ascii="Arial" w:hAnsi="Arial"/>
                <w:sz w:val="19"/>
              </w:rPr>
              <w:t>Yes — S0.3</w:t>
            </w:r>
          </w:p>
        </w:tc>
      </w:tr>
      <w:tr>
        <w:tc>
          <w:tcPr>
            <w:tcW w:type="dxa" w:w="1008"/>
            <w:tcMar>
              <w:top w:w="80" w:type="dxa"/>
              <w:bottom w:w="80" w:type="dxa"/>
              <w:left w:w="120" w:type="dxa"/>
              <w:right w:w="120" w:type="dxa"/>
            </w:tcMar>
          </w:tcPr>
          <w:p>
            <w:r/>
            <w:r>
              <w:rPr>
                <w:rFonts w:ascii="Arial" w:hAnsi="Arial"/>
                <w:sz w:val="19"/>
              </w:rPr>
              <w:t>1.3</w:t>
            </w:r>
          </w:p>
        </w:tc>
        <w:tc>
          <w:tcPr>
            <w:tcW w:type="dxa" w:w="4320"/>
            <w:tcMar>
              <w:top w:w="80" w:type="dxa"/>
              <w:bottom w:w="80" w:type="dxa"/>
              <w:left w:w="120" w:type="dxa"/>
              <w:right w:w="120" w:type="dxa"/>
            </w:tcMar>
          </w:tcPr>
          <w:p>
            <w:r/>
            <w:r>
              <w:rPr>
                <w:rFonts w:ascii="Arial" w:hAnsi="Arial"/>
                <w:sz w:val="19"/>
              </w:rPr>
              <w:t>Kick off SOC 2 Type I (8-week observation window starts now)</w:t>
            </w:r>
          </w:p>
        </w:tc>
        <w:tc>
          <w:tcPr>
            <w:tcW w:type="dxa" w:w="1224"/>
            <w:tcMar>
              <w:top w:w="80" w:type="dxa"/>
              <w:bottom w:w="80" w:type="dxa"/>
              <w:left w:w="120" w:type="dxa"/>
              <w:right w:w="120" w:type="dxa"/>
            </w:tcMar>
          </w:tcPr>
          <w:p>
            <w:r/>
            <w:r>
              <w:rPr>
                <w:rFonts w:ascii="Arial" w:hAnsi="Arial"/>
                <w:b/>
                <w:color w:val="4D6B2A"/>
                <w:sz w:val="19"/>
              </w:rPr>
              <w:t>Medium</w:t>
            </w:r>
          </w:p>
        </w:tc>
        <w:tc>
          <w:tcPr>
            <w:tcW w:type="dxa" w:w="1224"/>
            <w:tcMar>
              <w:top w:w="80" w:type="dxa"/>
              <w:bottom w:w="80" w:type="dxa"/>
              <w:left w:w="120" w:type="dxa"/>
              <w:right w:w="120" w:type="dxa"/>
            </w:tcMar>
          </w:tcPr>
          <w:p>
            <w:r/>
            <w:r>
              <w:rPr>
                <w:rFonts w:ascii="Arial" w:hAnsi="Arial"/>
                <w:sz w:val="19"/>
              </w:rPr>
              <w:t>1wk + $</w:t>
            </w:r>
          </w:p>
        </w:tc>
        <w:tc>
          <w:tcPr>
            <w:tcW w:type="dxa" w:w="1584"/>
            <w:tcMar>
              <w:top w:w="80" w:type="dxa"/>
              <w:bottom w:w="80" w:type="dxa"/>
              <w:left w:w="120" w:type="dxa"/>
              <w:right w:w="120" w:type="dxa"/>
            </w:tcMar>
          </w:tcPr>
          <w:p>
            <w:r/>
            <w:r>
              <w:rPr>
                <w:rFonts w:ascii="Arial" w:hAnsi="Arial"/>
                <w:color w:val="B11F1F"/>
                <w:sz w:val="19"/>
              </w:rPr>
              <w:t>No — propose</w:t>
            </w:r>
          </w:p>
        </w:tc>
      </w:tr>
      <w:tr>
        <w:tc>
          <w:tcPr>
            <w:tcW w:type="dxa" w:w="1008"/>
            <w:shd w:val="clear" w:color="auto" w:fill="F4F6F9"/>
            <w:tcMar>
              <w:top w:w="80" w:type="dxa"/>
              <w:bottom w:w="80" w:type="dxa"/>
              <w:left w:w="120" w:type="dxa"/>
              <w:right w:w="120" w:type="dxa"/>
            </w:tcMar>
          </w:tcPr>
          <w:p>
            <w:r/>
            <w:r>
              <w:rPr>
                <w:rFonts w:ascii="Arial" w:hAnsi="Arial"/>
                <w:sz w:val="19"/>
              </w:rPr>
              <w:t>6.2</w:t>
            </w:r>
          </w:p>
        </w:tc>
        <w:tc>
          <w:tcPr>
            <w:tcW w:type="dxa" w:w="4320"/>
            <w:shd w:val="clear" w:color="auto" w:fill="F4F6F9"/>
            <w:tcMar>
              <w:top w:w="80" w:type="dxa"/>
              <w:bottom w:w="80" w:type="dxa"/>
              <w:left w:w="120" w:type="dxa"/>
              <w:right w:w="120" w:type="dxa"/>
            </w:tcMar>
          </w:tcPr>
          <w:p>
            <w:r/>
            <w:r>
              <w:rPr>
                <w:rFonts w:ascii="Arial" w:hAnsi="Arial"/>
                <w:sz w:val="19"/>
              </w:rPr>
              <w:t>Automated IDOR test sweep + ZAP active-scan against staging</w:t>
            </w:r>
          </w:p>
        </w:tc>
        <w:tc>
          <w:tcPr>
            <w:tcW w:type="dxa" w:w="1224"/>
            <w:shd w:val="clear" w:color="auto" w:fill="F4F6F9"/>
            <w:tcMar>
              <w:top w:w="80" w:type="dxa"/>
              <w:bottom w:w="80" w:type="dxa"/>
              <w:left w:w="120" w:type="dxa"/>
              <w:right w:w="120" w:type="dxa"/>
            </w:tcMar>
          </w:tcPr>
          <w:p>
            <w:r/>
            <w:r>
              <w:rPr>
                <w:rFonts w:ascii="Arial" w:hAnsi="Arial"/>
                <w:b/>
                <w:color w:val="4D6B2A"/>
                <w:sz w:val="19"/>
              </w:rPr>
              <w:t>Medium</w:t>
            </w:r>
          </w:p>
        </w:tc>
        <w:tc>
          <w:tcPr>
            <w:tcW w:type="dxa" w:w="1224"/>
            <w:shd w:val="clear" w:color="auto" w:fill="F4F6F9"/>
            <w:tcMar>
              <w:top w:w="80" w:type="dxa"/>
              <w:bottom w:w="80" w:type="dxa"/>
              <w:left w:w="120" w:type="dxa"/>
              <w:right w:w="120" w:type="dxa"/>
            </w:tcMar>
          </w:tcPr>
          <w:p>
            <w:r/>
            <w:r>
              <w:rPr>
                <w:rFonts w:ascii="Arial" w:hAnsi="Arial"/>
                <w:sz w:val="19"/>
              </w:rPr>
              <w:t>0.5d</w:t>
            </w:r>
          </w:p>
        </w:tc>
        <w:tc>
          <w:tcPr>
            <w:tcW w:type="dxa" w:w="1584"/>
            <w:shd w:val="clear" w:color="auto" w:fill="F4F6F9"/>
            <w:tcMar>
              <w:top w:w="80" w:type="dxa"/>
              <w:bottom w:w="80" w:type="dxa"/>
              <w:left w:w="120" w:type="dxa"/>
              <w:right w:w="120" w:type="dxa"/>
            </w:tcMar>
          </w:tcPr>
          <w:p>
            <w:r/>
            <w:r>
              <w:rPr>
                <w:rFonts w:ascii="Arial" w:hAnsi="Arial"/>
                <w:sz w:val="19"/>
              </w:rPr>
              <w:t>Yes — exists</w:t>
            </w:r>
          </w:p>
        </w:tc>
      </w:tr>
    </w:tbl>
    <w:p>
      <w:pPr>
        <w:pStyle w:val="Heading1"/>
        <w:spacing w:before="400" w:after="80"/>
      </w:pPr>
      <w:r>
        <w:t>Appendix · What is genuinely solid</w:t>
      </w:r>
    </w:p>
    <w:p>
      <w:pPr>
        <w:spacing w:after="160"/>
      </w:pPr>
      <w:r>
        <w:rPr>
          <w:i/>
          <w:color w:val="555555"/>
        </w:rPr>
        <w:t>A premortem is intentionally negative. To balance the picture: these things are working, and you should not spend pre-launch energy second-guessing them.</w:t>
      </w:r>
    </w:p>
    <w:p>
      <w:pPr>
        <w:spacing w:after="120"/>
      </w:pPr>
      <w:r>
        <w:rPr>
          <w:rFonts w:ascii="Arial" w:hAnsi="Arial"/>
          <w:b/>
          <w:color w:val="0B4A7B"/>
          <w:sz w:val="22"/>
        </w:rPr>
        <w:t xml:space="preserve">RFC 6962 Merkle proofs. </w:t>
      </w:r>
      <w:r>
        <w:rPr>
          <w:rFonts w:ascii="Arial" w:hAnsi="Arial"/>
          <w:sz w:val="22"/>
        </w:rPr>
        <w:t>Cryptographically correct, battle-tested across the audit rounds, and aligns with the actual SEC 17a-4 tamper-evidence text. This is the moat.</w:t>
      </w:r>
    </w:p>
    <w:p>
      <w:pPr>
        <w:spacing w:after="120"/>
      </w:pPr>
      <w:r>
        <w:rPr>
          <w:rFonts w:ascii="Arial" w:hAnsi="Arial"/>
          <w:b/>
          <w:color w:val="0B4A7B"/>
          <w:sz w:val="22"/>
        </w:rPr>
        <w:t xml:space="preserve">Sub-millisecond recall (0.045ms p50). </w:t>
      </w:r>
      <w:r>
        <w:rPr>
          <w:rFonts w:ascii="Arial" w:hAnsi="Arial"/>
          <w:sz w:val="22"/>
        </w:rPr>
        <w:t>If it holds under load, this is a stronger headline number than the Markov hit rate. Lead with this for technical buyers; demote Markov to an engine page.</w:t>
      </w:r>
    </w:p>
    <w:p>
      <w:pPr>
        <w:spacing w:after="120"/>
      </w:pPr>
      <w:r>
        <w:rPr>
          <w:rFonts w:ascii="Arial" w:hAnsi="Arial"/>
          <w:b/>
          <w:color w:val="0B4A7B"/>
          <w:sz w:val="22"/>
        </w:rPr>
        <w:t xml:space="preserve">MCP-native architecture. </w:t>
      </w:r>
      <w:r>
        <w:rPr>
          <w:rFonts w:ascii="Arial" w:hAnsi="Arial"/>
          <w:sz w:val="22"/>
        </w:rPr>
        <w:t>Right architectural call. The MCP wrapper plan in MMPM_AI_USABILITY_REVIEW.md is correct. Ship it on day one.</w:t>
      </w:r>
    </w:p>
    <w:p>
      <w:pPr>
        <w:spacing w:after="120"/>
      </w:pPr>
      <w:r>
        <w:rPr>
          <w:rFonts w:ascii="Arial" w:hAnsi="Arial"/>
          <w:b/>
          <w:color w:val="0B4A7B"/>
          <w:sz w:val="22"/>
        </w:rPr>
        <w:t xml:space="preserve">Pre-launch sprint plan v2. </w:t>
      </w:r>
      <w:r>
        <w:rPr>
          <w:rFonts w:ascii="Arial" w:hAnsi="Arial"/>
          <w:sz w:val="22"/>
        </w:rPr>
        <w:t>Decision-anchored, has DoD per story, includes CI guards, includes the unit-economics spike. Quality of planning is unusually high for a solo founder. Discipline at this level is rare and worth protecting.</w:t>
      </w:r>
    </w:p>
    <w:p>
      <w:pPr>
        <w:spacing w:after="120"/>
      </w:pPr>
      <w:r>
        <w:rPr>
          <w:rFonts w:ascii="Arial" w:hAnsi="Arial"/>
          <w:b/>
          <w:color w:val="0B4A7B"/>
          <w:sz w:val="22"/>
        </w:rPr>
        <w:t xml:space="preserve">Test coverage and CI guards. </w:t>
      </w:r>
      <w:r>
        <w:rPr>
          <w:rFonts w:ascii="Arial" w:hAnsi="Arial"/>
          <w:sz w:val="22"/>
        </w:rPr>
        <w:t>tier-consistency.test.ts, check-pricing-content.mjs, check-docs-vs-canonical.mjs, openapi-diff.mjs, daily-stripe-drift-check.mjs. The plan to make documentation/code drift impossible is exactly right.</w:t>
      </w:r>
    </w:p>
    <w:p>
      <w:pPr>
        <w:spacing w:after="120"/>
      </w:pPr>
      <w:r>
        <w:rPr>
          <w:rFonts w:ascii="Arial" w:hAnsi="Arial"/>
          <w:b/>
          <w:color w:val="0B4A7B"/>
          <w:sz w:val="22"/>
        </w:rPr>
        <w:t xml:space="preserve">EU AI Act Article 12 timing. </w:t>
      </w:r>
      <w:r>
        <w:rPr>
          <w:rFonts w:ascii="Arial" w:hAnsi="Arial"/>
          <w:sz w:val="22"/>
        </w:rPr>
        <w:t>Genuinely fortunate. The August 2 deadline is three months post-launch. Your blog post on Article 12 already exists. This is a content marketing wedge that doesn't need SEO ranking — it needs one well-placed Hacker News post.</w:t>
      </w:r>
    </w:p>
    <w:p>
      <w:pPr>
        <w:spacing w:after="120"/>
      </w:pPr>
      <w:r>
        <w:rPr>
          <w:rFonts w:ascii="Arial" w:hAnsi="Arial"/>
          <w:b/>
          <w:color w:val="0B4A7B"/>
          <w:sz w:val="22"/>
        </w:rPr>
        <w:t xml:space="preserve">Memory-as-substrate concept and the dogfood narrative. </w:t>
      </w:r>
      <w:r>
        <w:rPr>
          <w:rFonts w:ascii="Arial" w:hAnsi="Arial"/>
          <w:sz w:val="22"/>
        </w:rPr>
        <w:t>When done with discipline (per scenario 4.2), "MMPM runs its own ops on MMPM" is the most credible technical story you can tell. Protect this; don't break it during sprint work.</w:t>
      </w:r>
    </w:p>
    <w:p>
      <w:pPr>
        <w:pStyle w:val="Heading1"/>
        <w:spacing w:before="320" w:after="80"/>
      </w:pPr>
      <w:r>
        <w:t>Appendix · Sources, methodology, and caveats</w:t>
      </w:r>
    </w:p>
    <w:p>
      <w:pPr>
        <w:spacing w:after="80"/>
      </w:pPr>
      <w:r>
        <w:rPr>
          <w:b/>
          <w:sz w:val="22"/>
        </w:rPr>
        <w:t>Sources read directly:</w:t>
      </w:r>
    </w:p>
    <w:p>
      <w:pPr>
        <w:pStyle w:val="ListBullet"/>
        <w:spacing w:after="40"/>
        <w:ind w:left="360"/>
      </w:pPr>
      <w:r>
        <w:t>mmpm-website/audit-findings-detail-2026-05-03.md (yesterday's user-journey audit)</w:t>
      </w:r>
    </w:p>
    <w:p>
      <w:pPr>
        <w:pStyle w:val="ListBullet"/>
        <w:spacing w:after="40"/>
        <w:ind w:left="360"/>
      </w:pPr>
      <w:r>
        <w:t>mm-memory/commercial-infrastructure-plan.md</w:t>
      </w:r>
    </w:p>
    <w:p>
      <w:pPr>
        <w:pStyle w:val="ListBullet"/>
        <w:spacing w:after="40"/>
        <w:ind w:left="360"/>
      </w:pPr>
      <w:r>
        <w:t>parametric-memory-compute/parametric-memory-prelaunch-sprint-plan-v2-2026-05-03.docx (sprint plan v2 with DECISIONS.md summary)</w:t>
      </w:r>
    </w:p>
    <w:p>
      <w:pPr>
        <w:pStyle w:val="ListBullet"/>
        <w:spacing w:after="40"/>
        <w:ind w:left="360"/>
      </w:pPr>
      <w:r>
        <w:t>mmpm-website/src/config/tiers.ts (canonical tier registry)</w:t>
      </w:r>
    </w:p>
    <w:p>
      <w:pPr>
        <w:pStyle w:val="ListBullet"/>
        <w:spacing w:after="40"/>
        <w:ind w:left="360"/>
      </w:pPr>
      <w:r>
        <w:t>mmpm-website/src/app/page.tsx (homepage hero metadata)</w:t>
      </w:r>
    </w:p>
    <w:p>
      <w:pPr>
        <w:pStyle w:val="ListBullet"/>
        <w:spacing w:after="40"/>
        <w:ind w:left="360"/>
      </w:pPr>
      <w:r>
        <w:t>mm-memory/MMPM_AI_USABILITY_REVIEW.md</w:t>
      </w:r>
    </w:p>
    <w:p>
      <w:pPr>
        <w:pStyle w:val="ListBullet"/>
        <w:spacing w:after="40"/>
        <w:ind w:left="360"/>
      </w:pPr>
      <w:r>
        <w:t>mm-memory/daily-briefing.md (March 23 status snapshot)</w:t>
      </w:r>
    </w:p>
    <w:p>
      <w:pPr>
        <w:spacing w:before="160" w:after="80"/>
      </w:pPr>
      <w:r>
        <w:rPr>
          <w:b/>
          <w:sz w:val="22"/>
        </w:rPr>
        <w:t>Subagent reconnaissance:</w:t>
      </w:r>
    </w:p>
    <w:p>
      <w:pPr>
        <w:pStyle w:val="ListBullet"/>
        <w:spacing w:after="40"/>
        <w:ind w:left="360"/>
      </w:pPr>
      <w:r>
        <w:t>Technical audit subagent — code structure, security review round 3, Stripe race conditions, droplet capacity</w:t>
      </w:r>
    </w:p>
    <w:p>
      <w:pPr>
        <w:pStyle w:val="ListBullet"/>
        <w:spacing w:after="40"/>
        <w:ind w:left="360"/>
      </w:pPr>
      <w:r>
        <w:t>Business model subagent — commercial-infrastructure-plan, user-journey audit, AI usability review, ICP/funnel analysis</w:t>
      </w:r>
    </w:p>
    <w:p>
      <w:pPr>
        <w:pStyle w:val="ListBullet"/>
        <w:spacing w:after="40"/>
        <w:ind w:left="360"/>
      </w:pPr>
      <w:r>
        <w:t>Market research subagent — May 2026 competitive landscape (Mem0, Letta, Zep, Cognee, OSS MCP servers, Anthropic/OpenAI memory features)</w:t>
      </w:r>
    </w:p>
    <w:p>
      <w:pPr>
        <w:pStyle w:val="ListBullet"/>
        <w:spacing w:after="40"/>
        <w:ind w:left="360"/>
      </w:pPr>
      <w:r>
        <w:t>Critical reviewer subagent — pushback on draft synthesis; surfaced existing-customer chargeback risk, EU consumer law liability, DigitalOcean concentration risk, pricing-page legibility, and the dogfood discipline reframing</w:t>
      </w:r>
    </w:p>
    <w:p>
      <w:pPr>
        <w:spacing w:before="160" w:after="80"/>
      </w:pPr>
      <w:r>
        <w:rPr>
          <w:b/>
          <w:sz w:val="22"/>
        </w:rPr>
        <w:t>Caveats:</w:t>
      </w:r>
    </w:p>
    <w:p>
      <w:pPr>
        <w:pStyle w:val="ListBullet"/>
        <w:spacing w:after="40"/>
        <w:ind w:left="360"/>
      </w:pPr>
      <w:r>
        <w:t>This document is forecast, not fact. The kill chain is the most plausible cascade given current evidence — not a guarantee.</w:t>
      </w:r>
    </w:p>
    <w:p>
      <w:pPr>
        <w:pStyle w:val="ListBullet"/>
        <w:spacing w:after="40"/>
        <w:ind w:left="360"/>
      </w:pPr>
      <w:r>
        <w:t>Probabilities are calibrated against general SaaS launch base rates plus product-specific evidence. "High likelihood" means roughly 50-70% likely if no action is taken.</w:t>
      </w:r>
    </w:p>
    <w:p>
      <w:pPr>
        <w:pStyle w:val="ListBullet"/>
        <w:spacing w:after="40"/>
        <w:ind w:left="360"/>
      </w:pPr>
      <w:r>
        <w:t>Some risks (regional outages, regulatory inquiries) are tail events. Their inclusion reflects severity, not probability.</w:t>
      </w:r>
    </w:p>
    <w:p>
      <w:pPr>
        <w:pStyle w:val="ListBullet"/>
        <w:spacing w:after="40"/>
        <w:ind w:left="360"/>
      </w:pPr>
      <w:r>
        <w:t>All assertions about competitor pricing, product capabilities, and timing are accurate to the best of available data on 2026-05-04 and may shift.</w:t>
      </w:r>
    </w:p>
    <w:p>
      <w:pPr>
        <w:spacing w:before="400"/>
        <w:jc w:val="center"/>
      </w:pPr>
      <w:r>
        <w:rPr>
          <w:i/>
          <w:color w:val="555555"/>
          <w:sz w:val="18"/>
        </w:rPr>
        <w:t>End of premortem · 2026-05-04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4A7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4A7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