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p>
    <w:p>
      <w:pPr>
        <w:spacing w:before="0" w:after="0" w:line="300" w:lineRule="auto"/>
      </w:pPr>
    </w:p>
    <w:p>
      <w:pPr>
        <w:spacing w:before="0" w:after="0" w:line="300" w:lineRule="auto"/>
      </w:pPr>
    </w:p>
    <w:p>
      <w:pPr>
        <w:spacing w:before="0" w:after="160" w:line="240" w:lineRule="auto"/>
        <w:jc w:val="center"/>
      </w:pPr>
      <w:r>
        <w:rPr>
          <w:rFonts w:ascii="Arial" w:hAnsi="Arial" w:eastAsia="Noto Sans CJK SC"/>
          <w:b/>
          <w:i w:val="0"/>
          <w:color w:val="2563EB"/>
          <w:sz w:val="28"/>
        </w:rPr>
        <w:t>ReHealth Core  睿禾健康</w:t>
      </w:r>
    </w:p>
    <w:p>
      <w:pPr>
        <w:spacing w:before="300" w:after="320" w:line="240" w:lineRule="auto"/>
        <w:jc w:val="center"/>
      </w:pPr>
      <w:r>
        <w:rPr>
          <w:rFonts w:ascii="Arial" w:hAnsi="Arial" w:eastAsia="Noto Sans CJK SC"/>
          <w:b/>
          <w:i w:val="0"/>
          <w:color w:val="17365D"/>
          <w:sz w:val="48"/>
        </w:rPr>
        <w:t>PSM归因分析与RWE赔付节省量化报告</w:t>
      </w:r>
    </w:p>
    <w:p>
      <w:pPr>
        <w:spacing w:before="0" w:after="200" w:line="264" w:lineRule="auto"/>
        <w:jc w:val="center"/>
      </w:pPr>
      <w:r>
        <w:rPr>
          <w:rFonts w:ascii="Arial" w:hAnsi="Arial" w:eastAsia="Noto Sans CJK SC"/>
          <w:b w:val="0"/>
          <w:i w:val="0"/>
          <w:color w:val="6B7280"/>
          <w:sz w:val="26"/>
        </w:rPr>
        <w:t>基于产品界面数据形成的结构化内部评审稿</w:t>
      </w:r>
    </w:p>
    <w:tbl>
      <w:tblPr>
        <w:tblW w:type="auto" w:w="0"/>
        <w:jc w:val="center"/>
        <w:tblLook w:firstColumn="1" w:firstRow="1" w:lastColumn="0" w:lastRow="0" w:noHBand="0" w:noVBand="1" w:val="04A0"/>
      </w:tblPr>
      <w:tblGrid>
        <w:gridCol w:w="9972"/>
      </w:tblGrid>
      <w:tr>
        <w:tc>
          <w:tcPr>
            <w:tcW w:type="dxa" w:w="9972"/>
            <w:shd w:fill="FFF7E6"/>
            <w:tcMar>
              <w:top w:w="90" w:type="dxa"/>
              <w:start w:w="180" w:type="dxa"/>
              <w:bottom w:w="90" w:type="dxa"/>
              <w:end w:w="180" w:type="dxa"/>
            </w:tcMar>
            <w:tcBorders>
              <w:top w:val="single" w:sz="8" w:color="F59E0B"/>
              <w:left w:val="single" w:sz="8" w:color="F59E0B"/>
              <w:bottom w:val="single" w:sz="8" w:color="F59E0B"/>
              <w:right w:val="single" w:sz="8" w:color="F59E0B"/>
            </w:tcBorders>
          </w:tcPr>
          <w:p>
            <w:pPr>
              <w:spacing w:before="0" w:after="0" w:line="240" w:lineRule="auto"/>
              <w:jc w:val="center"/>
            </w:pPr>
            <w:r>
              <w:rPr>
                <w:rFonts w:ascii="Arial" w:hAnsi="Arial" w:eastAsia="Noto Sans CJK SC"/>
                <w:b/>
                <w:i w:val="0"/>
                <w:color w:val="F59E0B"/>
                <w:sz w:val="21"/>
              </w:rPr>
              <w:t>Combined Report  |  Draft V0.1  |  2026-08-12</w:t>
            </w:r>
          </w:p>
        </w:tc>
      </w:tr>
    </w:tbl>
    <w:p>
      <w:pPr>
        <w:spacing w:before="0" w:after="0" w:line="300" w:lineRule="auto"/>
      </w:pPr>
    </w:p>
    <w:p>
      <w:pPr>
        <w:spacing w:before="0" w:after="0" w:line="300" w:lineRule="auto"/>
      </w:pPr>
    </w:p>
    <w:p>
      <w:pPr>
        <w:spacing w:before="0" w:after="0" w:line="300" w:lineRule="auto"/>
      </w:pPr>
    </w:p>
    <w:p>
      <w:pPr>
        <w:spacing w:before="0" w:after="0" w:line="300" w:lineRule="auto"/>
      </w:pPr>
    </w:p>
    <w:tbl>
      <w:tblPr>
        <w:tblW w:type="auto" w:w="0"/>
        <w:jc w:val="center"/>
        <w:tblLayout w:type="autofit"/>
        <w:tblLook w:firstColumn="1" w:firstRow="1" w:lastColumn="0" w:lastRow="0" w:noHBand="0" w:noVBand="1" w:val="04A0"/>
      </w:tblPr>
      <w:tblGrid>
        <w:gridCol w:w="9972"/>
      </w:tblGrid>
      <w:tr>
        <w:tc>
          <w:tcPr>
            <w:tcW w:type="dxa" w:w="9972"/>
            <w:shd w:fill="FEF2F2"/>
            <w:tcMar>
              <w:top w:w="130" w:type="dxa"/>
              <w:start w:w="160" w:type="dxa"/>
              <w:bottom w:w="130" w:type="dxa"/>
              <w:end w:w="160" w:type="dxa"/>
            </w:tcMar>
            <w:tcBorders>
              <w:top w:val="single" w:sz="4" w:color="FEF2F2"/>
              <w:left w:val="single" w:sz="18" w:color="DC2626"/>
              <w:bottom w:val="single" w:sz="4" w:color="FEF2F2"/>
              <w:right w:val="single" w:sz="4" w:color="FEF2F2"/>
            </w:tcBorders>
          </w:tcPr>
          <w:p>
            <w:pPr>
              <w:spacing w:before="0" w:after="60" w:line="276" w:lineRule="auto"/>
            </w:pPr>
            <w:r>
              <w:rPr>
                <w:rFonts w:ascii="Arial" w:hAnsi="Arial" w:eastAsia="Noto Sans CJK SC"/>
                <w:b/>
                <w:i w:val="0"/>
                <w:color w:val="DC2626"/>
                <w:sz w:val="21"/>
              </w:rPr>
              <w:t>重要使用限制</w:t>
            </w:r>
          </w:p>
          <w:p>
            <w:pPr>
              <w:spacing w:before="0" w:after="0" w:line="312" w:lineRule="auto"/>
            </w:pPr>
            <w:r>
              <w:rPr>
                <w:rFonts w:ascii="Arial" w:hAnsi="Arial" w:eastAsia="Noto Sans CJK SC"/>
                <w:b w:val="0"/>
                <w:i w:val="0"/>
                <w:color w:val="111827"/>
                <w:sz w:val="20"/>
              </w:rPr>
              <w:t>本报告仅根据用户提供的产品界面截图形成。界面中的样本量、匹配率、SMD、P值、赔付率和节省金额均视为“待核验输入”，未与底层保单、理赔、App授权、干预记录或统计分析数据核对。本稿不得直接用于监管申报、保险结算、产品定价、临床决策或对外因果性宣传。</w:t>
            </w:r>
          </w:p>
        </w:tc>
      </w:tr>
    </w:tbl>
    <w:p>
      <w:pPr>
        <w:spacing w:after="20"/>
      </w:pPr>
    </w:p>
    <w:p>
      <w:r>
        <w:br w:type="page"/>
      </w:r>
    </w:p>
    <w:p>
      <w:pPr>
        <w:keepNext/>
        <w:pageBreakBefore w:val="0"/>
        <w:spacing w:before="240" w:after="140" w:line="252" w:lineRule="auto"/>
        <w:pBdr>
          <w:left w:val="single" w:sz="20" w:space="8" w:color="F59E0B"/>
        </w:pBdr>
      </w:pPr>
      <w:r>
        <w:rPr>
          <w:rFonts w:ascii="Arial" w:hAnsi="Arial" w:eastAsia="Noto Sans CJK SC"/>
          <w:b/>
          <w:i w:val="0"/>
          <w:color w:val="17365D"/>
          <w:sz w:val="32"/>
        </w:rPr>
        <w:t>文档控制</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文档名称</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PSM归因分析与RWE赔付节省量化报告</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版本</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Draft V0.1</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报告编号</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RH-COMBINED-202608-DRAFT-001</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报告日期</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2026-08-12</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报告状态</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内部评审稿</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数据口径</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界面截图提取，尚未完成源数据核验</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拟使用场景</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产品演示、内部方法学评审</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禁止用途</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监管提交、正式保险结算、对外因果宣传</w:t>
            </w:r>
          </w:p>
        </w:tc>
      </w:tr>
    </w:tbl>
    <w:p>
      <w:pPr>
        <w:spacing w:after="60"/>
      </w:pPr>
    </w:p>
    <w:tbl>
      <w:tblPr>
        <w:tblW w:type="auto" w:w="0"/>
        <w:jc w:val="center"/>
        <w:tblLayout w:type="autofit"/>
        <w:tblLook w:firstColumn="1" w:firstRow="1" w:lastColumn="0" w:lastRow="0" w:noHBand="0" w:noVBand="1" w:val="04A0"/>
      </w:tblPr>
      <w:tblGrid>
        <w:gridCol w:w="9972"/>
      </w:tblGrid>
      <w:tr>
        <w:tc>
          <w:tcPr>
            <w:tcW w:type="dxa" w:w="9972"/>
            <w:shd w:fill="EEF4FF"/>
            <w:tcMar>
              <w:top w:w="130" w:type="dxa"/>
              <w:start w:w="160" w:type="dxa"/>
              <w:bottom w:w="130" w:type="dxa"/>
              <w:end w:w="160" w:type="dxa"/>
            </w:tcMar>
            <w:tcBorders>
              <w:top w:val="single" w:sz="4" w:color="EEF4FF"/>
              <w:left w:val="single" w:sz="18" w:color="2563EB"/>
              <w:bottom w:val="single" w:sz="4" w:color="EEF4FF"/>
              <w:right w:val="single" w:sz="4" w:color="EEF4FF"/>
            </w:tcBorders>
          </w:tcPr>
          <w:p>
            <w:pPr>
              <w:spacing w:before="0" w:after="60" w:line="276" w:lineRule="auto"/>
            </w:pPr>
            <w:r>
              <w:rPr>
                <w:rFonts w:ascii="Arial" w:hAnsi="Arial" w:eastAsia="Noto Sans CJK SC"/>
                <w:b/>
                <w:i w:val="0"/>
                <w:color w:val="2563EB"/>
                <w:sz w:val="21"/>
              </w:rPr>
              <w:t>本稿的正确定位</w:t>
            </w:r>
          </w:p>
          <w:p>
            <w:pPr>
              <w:spacing w:before="0" w:after="0" w:line="312" w:lineRule="auto"/>
            </w:pPr>
            <w:r>
              <w:rPr>
                <w:rFonts w:ascii="Arial" w:hAnsi="Arial" w:eastAsia="Noto Sans CJK SC"/>
                <w:b w:val="0"/>
                <w:i w:val="0"/>
                <w:color w:val="111827"/>
                <w:sz w:val="20"/>
              </w:rPr>
              <w:t>这不是“把界面截图写成一份看起来像监管文件的报告”，而是把界面结果整理为一份可继续补数据、补方法、补审计信息的技术草案。所有未提供的信息均保留为待补项，避免虚构ATT、置信区间、原始结局或合规结论。</w:t>
            </w:r>
          </w:p>
        </w:tc>
      </w:tr>
    </w:tbl>
    <w:p>
      <w:pPr>
        <w:spacing w:after="20"/>
      </w:pPr>
    </w:p>
    <w:p>
      <w:pPr>
        <w:keepNext/>
        <w:pageBreakBefore w:val="0"/>
        <w:spacing w:before="240" w:after="140" w:line="252" w:lineRule="auto"/>
        <w:pBdr>
          <w:left w:val="single" w:sz="20" w:space="8" w:color="F59E0B"/>
        </w:pBdr>
      </w:pPr>
      <w:r>
        <w:rPr>
          <w:rFonts w:ascii="Arial" w:hAnsi="Arial" w:eastAsia="Noto Sans CJK SC"/>
          <w:b/>
          <w:i w:val="0"/>
          <w:color w:val="17365D"/>
          <w:sz w:val="32"/>
        </w:rPr>
        <w:t>执行摘要</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232"/>
            <w:shd w:fill="FFF7E6"/>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PSM覆盖人群</w:t>
            </w:r>
          </w:p>
          <w:p>
            <w:pPr>
              <w:spacing w:before="0" w:after="60" w:line="240" w:lineRule="auto"/>
              <w:jc w:val="center"/>
            </w:pPr>
            <w:r>
              <w:rPr>
                <w:rFonts w:ascii="Arial" w:hAnsi="Arial" w:eastAsia="Noto Sans CJK SC"/>
                <w:b/>
                <w:i w:val="0"/>
                <w:color w:val="17365D"/>
                <w:sz w:val="30"/>
              </w:rPr>
              <w:t>1,280人</w:t>
            </w:r>
          </w:p>
          <w:p>
            <w:pPr>
              <w:spacing w:before="0" w:after="0" w:line="240" w:lineRule="auto"/>
              <w:jc w:val="center"/>
            </w:pPr>
            <w:r>
              <w:rPr>
                <w:rFonts w:ascii="Arial" w:hAnsi="Arial" w:eastAsia="Noto Sans CJK SC"/>
                <w:b w:val="0"/>
                <w:i w:val="0"/>
                <w:color w:val="6B7280"/>
                <w:sz w:val="15"/>
              </w:rPr>
              <w:t>示例心血管项目</w:t>
            </w:r>
          </w:p>
        </w:tc>
        <w:tc>
          <w:tcPr>
            <w:tcW w:type="dxa" w:w="2232"/>
            <w:shd w:fill="ECFDF5"/>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匹配后样本</w:t>
            </w:r>
          </w:p>
          <w:p>
            <w:pPr>
              <w:spacing w:before="0" w:after="60" w:line="240" w:lineRule="auto"/>
              <w:jc w:val="center"/>
            </w:pPr>
            <w:r>
              <w:rPr>
                <w:rFonts w:ascii="Arial" w:hAnsi="Arial" w:eastAsia="Noto Sans CJK SC"/>
                <w:b/>
                <w:i w:val="0"/>
                <w:color w:val="17365D"/>
                <w:sz w:val="30"/>
              </w:rPr>
              <w:t>640:640</w:t>
            </w:r>
          </w:p>
          <w:p>
            <w:pPr>
              <w:spacing w:before="0" w:after="0" w:line="240" w:lineRule="auto"/>
              <w:jc w:val="center"/>
            </w:pPr>
            <w:r>
              <w:rPr>
                <w:rFonts w:ascii="Arial" w:hAnsi="Arial" w:eastAsia="Noto Sans CJK SC"/>
                <w:b w:val="0"/>
                <w:i w:val="0"/>
                <w:color w:val="6B7280"/>
                <w:sz w:val="15"/>
              </w:rPr>
              <w:t>干预组:对照组</w:t>
            </w:r>
          </w:p>
        </w:tc>
        <w:tc>
          <w:tcPr>
            <w:tcW w:type="dxa" w:w="2232"/>
            <w:shd w:fill="F5F3FF"/>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RWE覆盖人群</w:t>
            </w:r>
          </w:p>
          <w:p>
            <w:pPr>
              <w:spacing w:before="0" w:after="60" w:line="240" w:lineRule="auto"/>
              <w:jc w:val="center"/>
            </w:pPr>
            <w:r>
              <w:rPr>
                <w:rFonts w:ascii="Arial" w:hAnsi="Arial" w:eastAsia="Noto Sans CJK SC"/>
                <w:b/>
                <w:i w:val="0"/>
                <w:color w:val="17365D"/>
                <w:sz w:val="30"/>
              </w:rPr>
              <w:t>8,642人</w:t>
            </w:r>
          </w:p>
          <w:p>
            <w:pPr>
              <w:spacing w:before="0" w:after="0" w:line="240" w:lineRule="auto"/>
              <w:jc w:val="center"/>
            </w:pPr>
            <w:r>
              <w:rPr>
                <w:rFonts w:ascii="Arial" w:hAnsi="Arial" w:eastAsia="Noto Sans CJK SC"/>
                <w:b w:val="0"/>
                <w:i w:val="0"/>
                <w:color w:val="6B7280"/>
                <w:sz w:val="15"/>
              </w:rPr>
              <w:t>三个险种合计</w:t>
            </w:r>
          </w:p>
        </w:tc>
        <w:tc>
          <w:tcPr>
            <w:tcW w:type="dxa" w:w="2232"/>
            <w:shd w:fill="EEF4FF"/>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系统估算节省</w:t>
            </w:r>
          </w:p>
          <w:p>
            <w:pPr>
              <w:spacing w:before="0" w:after="60" w:line="240" w:lineRule="auto"/>
              <w:jc w:val="center"/>
            </w:pPr>
            <w:r>
              <w:rPr>
                <w:rFonts w:ascii="Arial" w:hAnsi="Arial" w:eastAsia="Noto Sans CJK SC"/>
                <w:b/>
                <w:i w:val="0"/>
                <w:color w:val="17365D"/>
                <w:sz w:val="30"/>
              </w:rPr>
              <w:t>2,840.2万元</w:t>
            </w:r>
          </w:p>
          <w:p>
            <w:pPr>
              <w:spacing w:before="0" w:after="0" w:line="240" w:lineRule="auto"/>
              <w:jc w:val="center"/>
            </w:pPr>
            <w:r>
              <w:rPr>
                <w:rFonts w:ascii="Arial" w:hAnsi="Arial" w:eastAsia="Noto Sans CJK SC"/>
                <w:b w:val="0"/>
                <w:i w:val="0"/>
                <w:color w:val="6B7280"/>
                <w:sz w:val="15"/>
              </w:rPr>
              <w:t>尚未完成财务复算</w:t>
            </w:r>
          </w:p>
        </w:tc>
      </w:tr>
    </w:tbl>
    <w:p>
      <w:pPr>
        <w:spacing w:after="40"/>
      </w:pPr>
    </w:p>
    <w:p>
      <w:pPr>
        <w:spacing w:before="0" w:after="80" w:line="324" w:lineRule="auto"/>
      </w:pPr>
      <w:r>
        <w:rPr>
          <w:rFonts w:ascii="Arial" w:hAnsi="Arial" w:eastAsia="Noto Sans CJK SC"/>
          <w:b w:val="0"/>
          <w:i w:val="0"/>
          <w:color w:val="111827"/>
          <w:sz w:val="21"/>
        </w:rPr>
        <w:t>本稿由“PSM归因分析报告”和“RWE赔付节省量化报告”两部分组成。PSM部分以睿禾健康科技Q1 2026心血管生活方式干预为示例：界面显示覆盖1,280人，匹配后干预组和对照组各640人，匹配率99.2%，94.6%的平衡检查项达到SMD&lt;0.1，统计结果p&lt;0.01，系统估算归因节省168.6万元。</w:t>
      </w:r>
    </w:p>
    <w:p>
      <w:pPr>
        <w:spacing w:before="0" w:after="80" w:line="324" w:lineRule="auto"/>
      </w:pPr>
      <w:r>
        <w:rPr>
          <w:rFonts w:ascii="Arial" w:hAnsi="Arial" w:eastAsia="Noto Sans CJK SC"/>
          <w:b w:val="0"/>
          <w:i w:val="0"/>
          <w:color w:val="111827"/>
          <w:sz w:val="21"/>
        </w:rPr>
        <w:t>RWE部分汇总补充医疗险、重疾险和住院津贴三个险种：界面显示覆盖8,642人，干预组赔付率38.6%，匹配对照组52.9%，绝对差-14.3个百分点；在口径和分母可比的前提下，相对下降约27.0%，系统估算毛节省2,840.2万元。</w:t>
      </w:r>
    </w:p>
    <w:tbl>
      <w:tblPr>
        <w:tblW w:type="auto" w:w="0"/>
        <w:jc w:val="center"/>
        <w:tblLayout w:type="autofit"/>
        <w:tblLook w:firstColumn="1" w:firstRow="1" w:lastColumn="0" w:lastRow="0" w:noHBand="0" w:noVBand="1" w:val="04A0"/>
      </w:tblPr>
      <w:tblGrid>
        <w:gridCol w:w="9972"/>
      </w:tblGrid>
      <w:tr>
        <w:tc>
          <w:tcPr>
            <w:tcW w:type="dxa" w:w="9972"/>
            <w:shd w:fill="FEF2F2"/>
            <w:tcMar>
              <w:top w:w="130" w:type="dxa"/>
              <w:start w:w="160" w:type="dxa"/>
              <w:bottom w:w="130" w:type="dxa"/>
              <w:end w:w="160" w:type="dxa"/>
            </w:tcMar>
            <w:tcBorders>
              <w:top w:val="single" w:sz="4" w:color="FEF2F2"/>
              <w:left w:val="single" w:sz="18" w:color="DC2626"/>
              <w:bottom w:val="single" w:sz="4" w:color="FEF2F2"/>
              <w:right w:val="single" w:sz="4" w:color="FEF2F2"/>
            </w:tcBorders>
          </w:tcPr>
          <w:p>
            <w:pPr>
              <w:spacing w:before="0" w:after="60" w:line="276" w:lineRule="auto"/>
            </w:pPr>
            <w:r>
              <w:rPr>
                <w:rFonts w:ascii="Arial" w:hAnsi="Arial" w:eastAsia="Noto Sans CJK SC"/>
                <w:b/>
                <w:i w:val="0"/>
                <w:color w:val="DC2626"/>
                <w:sz w:val="21"/>
              </w:rPr>
              <w:t>总体判断</w:t>
            </w:r>
          </w:p>
          <w:p>
            <w:pPr>
              <w:spacing w:before="0" w:after="0" w:line="312" w:lineRule="auto"/>
            </w:pPr>
            <w:r>
              <w:rPr>
                <w:rFonts w:ascii="Arial" w:hAnsi="Arial" w:eastAsia="Noto Sans CJK SC"/>
                <w:b w:val="0"/>
                <w:i w:val="0"/>
                <w:color w:val="111827"/>
                <w:sz w:val="20"/>
              </w:rPr>
              <w:t>当前材料可以支持内部产品演示和方法学评审，但尚不能支持“通过NMPA/FDA RWE认证”“可直接监管提交”“已证明因果节省”或“可据此正式结算”等表述。正式使用前需完成源数据追溯、研究方案锁定、效应量与95%CI、未平衡变量解释、财务复算和独立审核。</w:t>
            </w:r>
          </w:p>
        </w:tc>
      </w:tr>
    </w:tbl>
    <w:p>
      <w:pPr>
        <w:spacing w:after="20"/>
      </w:pPr>
    </w:p>
    <w:p>
      <w:pPr>
        <w:keepNext/>
        <w:pageBreakBefore w:val="0"/>
        <w:spacing w:before="240" w:after="140" w:line="252" w:lineRule="auto"/>
        <w:pBdr>
          <w:left w:val="single" w:sz="20" w:space="8" w:color="F59E0B"/>
        </w:pBdr>
      </w:pPr>
      <w:r>
        <w:rPr>
          <w:rFonts w:ascii="Arial" w:hAnsi="Arial" w:eastAsia="Noto Sans CJK SC"/>
          <w:b/>
          <w:i w:val="0"/>
          <w:color w:val="17365D"/>
          <w:sz w:val="32"/>
        </w:rPr>
        <w:t>目录</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72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9"/>
              </w:rPr>
              <w:t>部分</w:t>
            </w:r>
          </w:p>
        </w:tc>
        <w:tc>
          <w:tcPr>
            <w:tcW w:type="dxa" w:w="748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9"/>
              </w:rPr>
              <w:t>内容</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第一部分</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PSM归因分析报告</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1-3</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基本信息、研究问题、数据来源</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4-6</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统计方法、界面结果、结果解释</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7-10</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质量评价、局限性、结论、项目组合附表</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第二部分</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RWE赔付节省量化报告</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1-4</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基本信息、研究目的、数据来源、统计与经济学方法</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5-8</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结果、财务推导、一致性检查、合规表述</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9-11</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质量评价、局限性、结论</w:t>
            </w:r>
          </w:p>
        </w:tc>
      </w:tr>
      <w:tr>
        <w:tc>
          <w:tcPr>
            <w:tcW w:type="dxa" w:w="17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9"/>
              </w:rPr>
              <w:t>附录</w:t>
            </w:r>
          </w:p>
        </w:tc>
        <w:tc>
          <w:tcPr>
            <w:tcW w:type="dxa" w:w="74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9"/>
              </w:rPr>
              <w:t>外部发布前联合签署清单与参考框架</w:t>
            </w:r>
          </w:p>
        </w:tc>
      </w:tr>
    </w:tbl>
    <w:p>
      <w:pPr>
        <w:spacing w:after="40"/>
      </w:pPr>
    </w:p>
    <w:p>
      <w:r>
        <w:br w:type="page"/>
      </w:r>
    </w:p>
    <w:p>
      <w:pPr>
        <w:spacing w:before="1400" w:after="200" w:line="240" w:lineRule="auto"/>
        <w:jc w:val="center"/>
      </w:pPr>
      <w:r>
        <w:rPr>
          <w:rFonts w:ascii="Arial" w:hAnsi="Arial" w:eastAsia="Noto Sans CJK SC"/>
          <w:b/>
          <w:i w:val="0"/>
          <w:color w:val="F59E0B"/>
          <w:sz w:val="26"/>
        </w:rPr>
        <w:t>第一部分</w:t>
      </w:r>
    </w:p>
    <w:p>
      <w:pPr>
        <w:spacing w:before="0" w:after="200" w:line="240" w:lineRule="auto"/>
        <w:jc w:val="center"/>
      </w:pPr>
      <w:r>
        <w:rPr>
          <w:rFonts w:ascii="Arial" w:hAnsi="Arial" w:eastAsia="Noto Sans CJK SC"/>
          <w:b/>
          <w:i w:val="0"/>
          <w:color w:val="17365D"/>
          <w:sz w:val="44"/>
        </w:rPr>
        <w:t>PSM归因分析报告（Draft）</w:t>
      </w:r>
    </w:p>
    <w:p>
      <w:pPr>
        <w:spacing w:before="0" w:after="400" w:line="240" w:lineRule="auto"/>
        <w:jc w:val="center"/>
      </w:pPr>
      <w:r>
        <w:rPr>
          <w:rFonts w:ascii="Arial" w:hAnsi="Arial" w:eastAsia="Noto Sans CJK SC"/>
          <w:b w:val="0"/>
          <w:i w:val="0"/>
          <w:color w:val="6B7280"/>
          <w:sz w:val="23"/>
        </w:rPr>
        <w:t>示例项目：睿禾健康科技 · Q1 2026心血管生活方式干预</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文档名称</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睿禾健康科技·Q1 2026心血管干预PSM归因分析报告</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版本</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Draft V0.1</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报告编号</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RH-PSM-2026Q1-DRAFT-001</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报告日期</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2026-08-12</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报告状态</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内部评审稿</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数据口径</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界面截图提取，尚未完成源数据核验</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拟使用场景</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产品演示、内部方法学评审</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禁止用途</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监管提交、正式保险结算、对外因果宣传</w:t>
            </w:r>
          </w:p>
        </w:tc>
      </w:tr>
    </w:tbl>
    <w:p>
      <w:pPr>
        <w:spacing w:after="60"/>
      </w:pPr>
    </w:p>
    <w:p>
      <w:pPr>
        <w:keepNext/>
        <w:pageBreakBefore w:val="0"/>
        <w:spacing w:before="240" w:after="140" w:line="252" w:lineRule="auto"/>
        <w:pBdr>
          <w:left w:val="single" w:sz="20" w:space="8" w:color="F59E0B"/>
        </w:pBdr>
      </w:pPr>
      <w:r>
        <w:rPr>
          <w:rFonts w:ascii="Arial" w:hAnsi="Arial" w:eastAsia="Noto Sans CJK SC"/>
          <w:b/>
          <w:i w:val="0"/>
          <w:color w:val="17365D"/>
          <w:sz w:val="32"/>
        </w:rPr>
        <w:t>1. 报告基本信息</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7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8"/>
              </w:rPr>
              <w:t>项目</w:t>
            </w:r>
          </w:p>
        </w:tc>
        <w:tc>
          <w:tcPr>
            <w:tcW w:type="dxa" w:w="684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8"/>
              </w:rPr>
              <w:t>内容</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报告名称</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睿禾健康科技·Q1 2026心血管干预PSM归因分析报告</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研究设计</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回顾性观察性队列 + 倾向评分匹配</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目标人群</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纳入Q1 2026心血管健康管理计划的符合条件人群</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干预方式</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生活方式干预</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随访周期</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12个月</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界面所示覆盖人群</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1,280人</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匹配后样本</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干预组640人，对照组640人</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当前状态</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内部评审稿，方法学和数据口径待补齐</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2. 研究目的与研究问题</w:t>
      </w:r>
    </w:p>
    <w:p>
      <w:pPr>
        <w:keepNext/>
        <w:spacing w:before="160" w:after="80" w:line="252" w:lineRule="auto"/>
      </w:pPr>
      <w:r>
        <w:rPr>
          <w:rFonts w:ascii="Arial" w:hAnsi="Arial" w:eastAsia="Noto Sans CJK SC"/>
          <w:b/>
          <w:i w:val="0"/>
          <w:color w:val="17365D"/>
          <w:sz w:val="25"/>
        </w:rPr>
        <w:t>2.1 研究目的</w:t>
      </w:r>
    </w:p>
    <w:p>
      <w:pPr>
        <w:spacing w:before="0" w:after="80" w:line="324" w:lineRule="auto"/>
      </w:pPr>
      <w:r>
        <w:rPr>
          <w:rFonts w:ascii="Arial" w:hAnsi="Arial" w:eastAsia="Noto Sans CJK SC"/>
          <w:b w:val="0"/>
          <w:i w:val="0"/>
          <w:color w:val="111827"/>
          <w:sz w:val="21"/>
        </w:rPr>
        <w:t>评估心血管生活方式干预与目标结局改善之间的关联，并在预先定义且可复算的财务口径下估算潜在赔付节省。</w:t>
      </w:r>
    </w:p>
    <w:p>
      <w:pPr>
        <w:keepNext/>
        <w:spacing w:before="160" w:after="80" w:line="252" w:lineRule="auto"/>
      </w:pPr>
      <w:r>
        <w:rPr>
          <w:rFonts w:ascii="Arial" w:hAnsi="Arial" w:eastAsia="Noto Sans CJK SC"/>
          <w:b/>
          <w:i w:val="0"/>
          <w:color w:val="17365D"/>
          <w:sz w:val="25"/>
        </w:rPr>
        <w:t>2.2 研究问题框架</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研究人群：连续在保、满足基线观察期要求且具备必要健康与理赔数据的计划成员。</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干预暴露：进入并实际参与心血管生活方式干预计划。</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对照暴露：未进入该计划或在索引期未接受同类干预。</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主要结局：[待补：赔付发生、赔付金额、住院事件、风险评分或其他]。</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基线期：[待补：建议180或365天]；随访期：12个月。</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估计目标：ATT，即已接受干预者中的平均干预效应。</w:t>
      </w:r>
    </w:p>
    <w:p>
      <w:pPr>
        <w:keepNext/>
        <w:pageBreakBefore w:val="0"/>
        <w:spacing w:before="240" w:after="140" w:line="252" w:lineRule="auto"/>
        <w:pBdr>
          <w:left w:val="single" w:sz="20" w:space="8" w:color="F59E0B"/>
        </w:pBdr>
      </w:pPr>
      <w:r>
        <w:rPr>
          <w:rFonts w:ascii="Arial" w:hAnsi="Arial" w:eastAsia="Noto Sans CJK SC"/>
          <w:b/>
          <w:i w:val="0"/>
          <w:color w:val="17365D"/>
          <w:sz w:val="32"/>
        </w:rPr>
        <w:t>3. 数据来源与可追溯性</w:t>
      </w:r>
    </w:p>
    <w:p>
      <w:pPr>
        <w:spacing w:before="0" w:after="80" w:line="324" w:lineRule="auto"/>
      </w:pPr>
      <w:r>
        <w:rPr>
          <w:rFonts w:ascii="Arial" w:hAnsi="Arial" w:eastAsia="Noto Sans CJK SC"/>
          <w:b w:val="0"/>
          <w:i w:val="0"/>
          <w:color w:val="111827"/>
          <w:sz w:val="21"/>
        </w:rPr>
        <w:t>正式版本至少应绑定保单与保障关系、理赔案件及明细、App与保险计划绑定、授权范围、干预记录、健康指标、风险模型版本和数据导入批次。</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0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数据域</w:t>
            </w:r>
          </w:p>
        </w:tc>
        <w:tc>
          <w:tcPr>
            <w:tcW w:type="dxa" w:w="590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正式版必须引用的内容</w:t>
            </w:r>
          </w:p>
        </w:tc>
        <w:tc>
          <w:tcPr>
            <w:tcW w:type="dxa" w:w="144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当前状态</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保险计划与保单</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plan_id、policy_id、保障期、连续在保状态</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理赔</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案件、明细、支付、未决、拒赔、冲正</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App关联</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app_user_id与被保人绑定及核验方式</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数据授权</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purpose、scope、版本、授权/撤销时间</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干预</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入组、开始、完成、依从性、暴露强度</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模型与分析</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模型版本、协议版本、代码SHA、随机种子</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分析快照</w:t>
            </w:r>
          </w:p>
        </w:tc>
        <w:tc>
          <w:tcPr>
            <w:tcW w:type="dxa" w:w="59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cohort_snapshot_id、hash、source_batch_ids</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待补</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4. 研究设计与统计方法</w:t>
      </w:r>
    </w:p>
    <w:p>
      <w:pPr>
        <w:keepNext/>
        <w:spacing w:before="160" w:after="80" w:line="252" w:lineRule="auto"/>
      </w:pPr>
      <w:r>
        <w:rPr>
          <w:rFonts w:ascii="Arial" w:hAnsi="Arial" w:eastAsia="Noto Sans CJK SC"/>
          <w:b/>
          <w:i w:val="0"/>
          <w:color w:val="17365D"/>
          <w:sz w:val="25"/>
        </w:rPr>
        <w:t>4.1 队列构建</w:t>
      </w:r>
    </w:p>
    <w:p>
      <w:pPr>
        <w:spacing w:before="0" w:after="40" w:line="300" w:lineRule="auto"/>
        <w:ind w:left="369" w:hanging="255"/>
      </w:pPr>
      <w:r>
        <w:rPr>
          <w:rFonts w:ascii="Arial" w:hAnsi="Arial" w:eastAsia="Noto Sans CJK SC"/>
          <w:b/>
          <w:i w:val="0"/>
          <w:color w:val="17365D"/>
          <w:sz w:val="21"/>
        </w:rPr>
        <w:t xml:space="preserve">1. </w:t>
      </w:r>
      <w:r>
        <w:rPr>
          <w:rFonts w:ascii="Arial" w:hAnsi="Arial" w:eastAsia="Noto Sans CJK SC"/>
          <w:b w:val="0"/>
          <w:i w:val="0"/>
          <w:color w:val="111827"/>
          <w:sz w:val="21"/>
        </w:rPr>
        <w:t>依据计划、保障期和索引日期筛选人群。</w:t>
      </w:r>
    </w:p>
    <w:p>
      <w:pPr>
        <w:spacing w:before="0" w:after="40" w:line="300" w:lineRule="auto"/>
        <w:ind w:left="369" w:hanging="255"/>
      </w:pPr>
      <w:r>
        <w:rPr>
          <w:rFonts w:ascii="Arial" w:hAnsi="Arial" w:eastAsia="Noto Sans CJK SC"/>
          <w:b/>
          <w:i w:val="0"/>
          <w:color w:val="17365D"/>
          <w:sz w:val="21"/>
        </w:rPr>
        <w:t xml:space="preserve">2. </w:t>
      </w:r>
      <w:r>
        <w:rPr>
          <w:rFonts w:ascii="Arial" w:hAnsi="Arial" w:eastAsia="Noto Sans CJK SC"/>
          <w:b w:val="0"/>
          <w:i w:val="0"/>
          <w:color w:val="111827"/>
          <w:sz w:val="21"/>
        </w:rPr>
        <w:t>排除保障中断、授权不足或关键数据不完整者。</w:t>
      </w:r>
    </w:p>
    <w:p>
      <w:pPr>
        <w:spacing w:before="0" w:after="40" w:line="300" w:lineRule="auto"/>
        <w:ind w:left="369" w:hanging="255"/>
      </w:pPr>
      <w:r>
        <w:rPr>
          <w:rFonts w:ascii="Arial" w:hAnsi="Arial" w:eastAsia="Noto Sans CJK SC"/>
          <w:b/>
          <w:i w:val="0"/>
          <w:color w:val="17365D"/>
          <w:sz w:val="21"/>
        </w:rPr>
        <w:t xml:space="preserve">3. </w:t>
      </w:r>
      <w:r>
        <w:rPr>
          <w:rFonts w:ascii="Arial" w:hAnsi="Arial" w:eastAsia="Noto Sans CJK SC"/>
          <w:b w:val="0"/>
          <w:i w:val="0"/>
          <w:color w:val="111827"/>
          <w:sz w:val="21"/>
        </w:rPr>
        <w:t>仅使用索引日期之前的信息构建基线协变量。</w:t>
      </w:r>
    </w:p>
    <w:p>
      <w:pPr>
        <w:spacing w:before="0" w:after="40" w:line="300" w:lineRule="auto"/>
        <w:ind w:left="369" w:hanging="255"/>
      </w:pPr>
      <w:r>
        <w:rPr>
          <w:rFonts w:ascii="Arial" w:hAnsi="Arial" w:eastAsia="Noto Sans CJK SC"/>
          <w:b/>
          <w:i w:val="0"/>
          <w:color w:val="17365D"/>
          <w:sz w:val="21"/>
        </w:rPr>
        <w:t xml:space="preserve">4. </w:t>
      </w:r>
      <w:r>
        <w:rPr>
          <w:rFonts w:ascii="Arial" w:hAnsi="Arial" w:eastAsia="Noto Sans CJK SC"/>
          <w:b w:val="0"/>
          <w:i w:val="0"/>
          <w:color w:val="111827"/>
          <w:sz w:val="21"/>
        </w:rPr>
        <w:t>定义干预组和候选对照组并冻结不可变分析快照。</w:t>
      </w:r>
    </w:p>
    <w:p>
      <w:pPr>
        <w:spacing w:before="0" w:after="40" w:line="300" w:lineRule="auto"/>
        <w:ind w:left="369" w:hanging="255"/>
      </w:pPr>
      <w:r>
        <w:rPr>
          <w:rFonts w:ascii="Arial" w:hAnsi="Arial" w:eastAsia="Noto Sans CJK SC"/>
          <w:b/>
          <w:i w:val="0"/>
          <w:color w:val="17365D"/>
          <w:sz w:val="21"/>
        </w:rPr>
        <w:t xml:space="preserve">5. </w:t>
      </w:r>
      <w:r>
        <w:rPr>
          <w:rFonts w:ascii="Arial" w:hAnsi="Arial" w:eastAsia="Noto Sans CJK SC"/>
          <w:b w:val="0"/>
          <w:i w:val="0"/>
          <w:color w:val="111827"/>
          <w:sz w:val="21"/>
        </w:rPr>
        <w:t>计算倾向评分、完成匹配并评估共同支持区间。</w:t>
      </w:r>
    </w:p>
    <w:p>
      <w:pPr>
        <w:spacing w:before="0" w:after="40" w:line="300" w:lineRule="auto"/>
        <w:ind w:left="369" w:hanging="255"/>
      </w:pPr>
      <w:r>
        <w:rPr>
          <w:rFonts w:ascii="Arial" w:hAnsi="Arial" w:eastAsia="Noto Sans CJK SC"/>
          <w:b/>
          <w:i w:val="0"/>
          <w:color w:val="17365D"/>
          <w:sz w:val="21"/>
        </w:rPr>
        <w:t xml:space="preserve">6. </w:t>
      </w:r>
      <w:r>
        <w:rPr>
          <w:rFonts w:ascii="Arial" w:hAnsi="Arial" w:eastAsia="Noto Sans CJK SC"/>
          <w:b w:val="0"/>
          <w:i w:val="0"/>
          <w:color w:val="111827"/>
          <w:sz w:val="21"/>
        </w:rPr>
        <w:t>在匹配后队列上计算主要结局、次要结局和敏感性分析。</w:t>
      </w:r>
    </w:p>
    <w:p>
      <w:pPr>
        <w:keepNext/>
        <w:spacing w:before="160" w:after="80" w:line="252" w:lineRule="auto"/>
      </w:pPr>
      <w:r>
        <w:rPr>
          <w:rFonts w:ascii="Arial" w:hAnsi="Arial" w:eastAsia="Noto Sans CJK SC"/>
          <w:b/>
          <w:i w:val="0"/>
          <w:color w:val="17365D"/>
          <w:sz w:val="25"/>
        </w:rPr>
        <w:t>4.2 倾向评分模型与匹配</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32"/>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8"/>
              </w:rPr>
              <w:t>参数</w:t>
            </w:r>
          </w:p>
        </w:tc>
        <w:tc>
          <w:tcPr>
            <w:tcW w:type="dxa" w:w="6912"/>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8"/>
              </w:rPr>
              <w:t>草案设定/待补信息</w:t>
            </w:r>
          </w:p>
        </w:tc>
      </w:tr>
      <w:tr>
        <w:tc>
          <w:tcPr>
            <w:tcW w:type="dxa" w:w="223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倾向评分模型</w:t>
            </w:r>
          </w:p>
        </w:tc>
        <w:tc>
          <w:tcPr>
            <w:tcW w:type="dxa" w:w="691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[待补：Logistic回归、GBM或其他]</w:t>
            </w:r>
          </w:p>
        </w:tc>
      </w:tr>
      <w:tr>
        <w:tc>
          <w:tcPr>
            <w:tcW w:type="dxa" w:w="223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基线协变量</w:t>
            </w:r>
          </w:p>
        </w:tc>
        <w:tc>
          <w:tcPr>
            <w:tcW w:type="dxa" w:w="691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年龄、性别、基线风险、SBP、BMI、既往理赔、住院史、合并症、用药、医疗利用等</w:t>
            </w:r>
          </w:p>
        </w:tc>
      </w:tr>
      <w:tr>
        <w:tc>
          <w:tcPr>
            <w:tcW w:type="dxa" w:w="223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缺失值处理</w:t>
            </w:r>
          </w:p>
        </w:tc>
        <w:tc>
          <w:tcPr>
            <w:tcW w:type="dxa" w:w="691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[待补：完整案例、多重插补或缺失指示法]</w:t>
            </w:r>
          </w:p>
        </w:tc>
      </w:tr>
      <w:tr>
        <w:tc>
          <w:tcPr>
            <w:tcW w:type="dxa" w:w="223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匹配方法</w:t>
            </w:r>
          </w:p>
        </w:tc>
        <w:tc>
          <w:tcPr>
            <w:tcW w:type="dxa" w:w="691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界面暗示1:1匹配；最近邻/是否放回/卡钳待确认</w:t>
            </w:r>
          </w:p>
        </w:tc>
      </w:tr>
      <w:tr>
        <w:tc>
          <w:tcPr>
            <w:tcW w:type="dxa" w:w="223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共同支持区间</w:t>
            </w:r>
          </w:p>
        </w:tc>
        <w:tc>
          <w:tcPr>
            <w:tcW w:type="dxa" w:w="691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[待补：倾向评分分布和剔除规则]</w:t>
            </w:r>
          </w:p>
        </w:tc>
      </w:tr>
      <w:tr>
        <w:tc>
          <w:tcPr>
            <w:tcW w:type="dxa" w:w="223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随机种子</w:t>
            </w:r>
          </w:p>
        </w:tc>
        <w:tc>
          <w:tcPr>
            <w:tcW w:type="dxa" w:w="691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[待补并锁定]</w:t>
            </w:r>
          </w:p>
        </w:tc>
      </w:tr>
    </w:tbl>
    <w:p>
      <w:pPr>
        <w:spacing w:after="40"/>
      </w:pPr>
    </w:p>
    <w:p>
      <w:pPr>
        <w:keepNext/>
        <w:spacing w:before="160" w:after="80" w:line="252" w:lineRule="auto"/>
      </w:pPr>
      <w:r>
        <w:rPr>
          <w:rFonts w:ascii="Arial" w:hAnsi="Arial" w:eastAsia="Noto Sans CJK SC"/>
          <w:b/>
          <w:i w:val="0"/>
          <w:color w:val="17365D"/>
          <w:sz w:val="25"/>
        </w:rPr>
        <w:t>4.3 平衡性评价</w:t>
      </w:r>
    </w:p>
    <w:p>
      <w:pPr>
        <w:spacing w:before="0" w:after="80" w:line="324" w:lineRule="auto"/>
      </w:pPr>
      <w:r>
        <w:rPr>
          <w:rFonts w:ascii="Arial" w:hAnsi="Arial" w:eastAsia="Noto Sans CJK SC"/>
          <w:b w:val="0"/>
          <w:i w:val="0"/>
          <w:color w:val="111827"/>
          <w:sz w:val="21"/>
        </w:rPr>
        <w:t>主要使用绝对标准化均值差（SMD）。建议所有关键协变量匹配后绝对SMD&lt;0.1，并同时提供匹配前后Love plot、倾向评分分布和每项协变量明细。界面显示“94.6%达到SMD&lt;0.1”，说明仍有约5.4%的平衡项未达标，外部报告必须列明具体变量。</w:t>
      </w:r>
    </w:p>
    <w:p>
      <w:pPr>
        <w:keepNext/>
        <w:spacing w:before="160" w:after="80" w:line="252" w:lineRule="auto"/>
      </w:pPr>
      <w:r>
        <w:rPr>
          <w:rFonts w:ascii="Arial" w:hAnsi="Arial" w:eastAsia="Noto Sans CJK SC"/>
          <w:b/>
          <w:i w:val="0"/>
          <w:color w:val="17365D"/>
          <w:sz w:val="25"/>
        </w:rPr>
        <w:t>4.4 效应量与统计推断</w:t>
      </w:r>
    </w:p>
    <w:p>
      <w:pPr>
        <w:spacing w:before="0" w:after="80" w:line="324" w:lineRule="auto"/>
      </w:pPr>
      <w:r>
        <w:rPr>
          <w:rFonts w:ascii="Arial" w:hAnsi="Arial" w:eastAsia="Noto Sans CJK SC"/>
          <w:b w:val="0"/>
          <w:i w:val="0"/>
          <w:color w:val="111827"/>
          <w:sz w:val="21"/>
        </w:rPr>
        <w:t>正式版应报告干预组与对照组结局值、ATT及其单位、95%置信区间、P值、有效样本量、随访完整率以及预先设定的敏感性分析。P值不能替代效应量和置信区间，也不能单独证明因果关系。</w:t>
      </w:r>
    </w:p>
    <w:p>
      <w:pPr>
        <w:keepNext/>
        <w:pageBreakBefore w:val="0"/>
        <w:spacing w:before="240" w:after="140" w:line="252" w:lineRule="auto"/>
        <w:pBdr>
          <w:left w:val="single" w:sz="20" w:space="8" w:color="F59E0B"/>
        </w:pBdr>
      </w:pPr>
      <w:r>
        <w:rPr>
          <w:rFonts w:ascii="Arial" w:hAnsi="Arial" w:eastAsia="Noto Sans CJK SC"/>
          <w:b/>
          <w:i w:val="0"/>
          <w:color w:val="17365D"/>
          <w:sz w:val="32"/>
        </w:rPr>
        <w:t>5. 界面结果摘要</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232"/>
            <w:shd w:fill="FFF7E6"/>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覆盖人群</w:t>
            </w:r>
          </w:p>
          <w:p>
            <w:pPr>
              <w:spacing w:before="0" w:after="60" w:line="240" w:lineRule="auto"/>
              <w:jc w:val="center"/>
            </w:pPr>
            <w:r>
              <w:rPr>
                <w:rFonts w:ascii="Arial" w:hAnsi="Arial" w:eastAsia="Noto Sans CJK SC"/>
                <w:b/>
                <w:i w:val="0"/>
                <w:color w:val="17365D"/>
                <w:sz w:val="30"/>
              </w:rPr>
              <w:t>1,280人</w:t>
            </w:r>
          </w:p>
          <w:p>
            <w:pPr>
              <w:spacing w:before="0" w:after="0" w:line="240" w:lineRule="auto"/>
              <w:jc w:val="center"/>
            </w:pPr>
            <w:r>
              <w:rPr>
                <w:rFonts w:ascii="Arial" w:hAnsi="Arial" w:eastAsia="Noto Sans CJK SC"/>
                <w:b w:val="0"/>
                <w:i w:val="0"/>
                <w:color w:val="6B7280"/>
                <w:sz w:val="15"/>
              </w:rPr>
              <w:t>界面口径待确认</w:t>
            </w:r>
          </w:p>
        </w:tc>
        <w:tc>
          <w:tcPr>
            <w:tcW w:type="dxa" w:w="2232"/>
            <w:shd w:fill="ECFDF5"/>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匹配后样本</w:t>
            </w:r>
          </w:p>
          <w:p>
            <w:pPr>
              <w:spacing w:before="0" w:after="60" w:line="240" w:lineRule="auto"/>
              <w:jc w:val="center"/>
            </w:pPr>
            <w:r>
              <w:rPr>
                <w:rFonts w:ascii="Arial" w:hAnsi="Arial" w:eastAsia="Noto Sans CJK SC"/>
                <w:b/>
                <w:i w:val="0"/>
                <w:color w:val="17365D"/>
                <w:sz w:val="30"/>
              </w:rPr>
              <w:t>640:640</w:t>
            </w:r>
          </w:p>
          <w:p>
            <w:pPr>
              <w:spacing w:before="0" w:after="0" w:line="240" w:lineRule="auto"/>
              <w:jc w:val="center"/>
            </w:pPr>
            <w:r>
              <w:rPr>
                <w:rFonts w:ascii="Arial" w:hAnsi="Arial" w:eastAsia="Noto Sans CJK SC"/>
                <w:b w:val="0"/>
                <w:i w:val="0"/>
                <w:color w:val="6B7280"/>
                <w:sz w:val="15"/>
              </w:rPr>
              <w:t>1:1匹配</w:t>
            </w:r>
          </w:p>
        </w:tc>
        <w:tc>
          <w:tcPr>
            <w:tcW w:type="dxa" w:w="2232"/>
            <w:shd w:fill="F5F3FF"/>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匹配率</w:t>
            </w:r>
          </w:p>
          <w:p>
            <w:pPr>
              <w:spacing w:before="0" w:after="60" w:line="240" w:lineRule="auto"/>
              <w:jc w:val="center"/>
            </w:pPr>
            <w:r>
              <w:rPr>
                <w:rFonts w:ascii="Arial" w:hAnsi="Arial" w:eastAsia="Noto Sans CJK SC"/>
                <w:b/>
                <w:i w:val="0"/>
                <w:color w:val="17365D"/>
                <w:sz w:val="30"/>
              </w:rPr>
              <w:t>99.2%</w:t>
            </w:r>
          </w:p>
          <w:p>
            <w:pPr>
              <w:spacing w:before="0" w:after="0" w:line="240" w:lineRule="auto"/>
              <w:jc w:val="center"/>
            </w:pPr>
            <w:r>
              <w:rPr>
                <w:rFonts w:ascii="Arial" w:hAnsi="Arial" w:eastAsia="Noto Sans CJK SC"/>
                <w:b w:val="0"/>
                <w:i w:val="0"/>
                <w:color w:val="6B7280"/>
                <w:sz w:val="15"/>
              </w:rPr>
              <w:t>分母待确认</w:t>
            </w:r>
          </w:p>
        </w:tc>
        <w:tc>
          <w:tcPr>
            <w:tcW w:type="dxa" w:w="2232"/>
            <w:shd w:fill="EEF4FF"/>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系统估算节省</w:t>
            </w:r>
          </w:p>
          <w:p>
            <w:pPr>
              <w:spacing w:before="0" w:after="60" w:line="240" w:lineRule="auto"/>
              <w:jc w:val="center"/>
            </w:pPr>
            <w:r>
              <w:rPr>
                <w:rFonts w:ascii="Arial" w:hAnsi="Arial" w:eastAsia="Noto Sans CJK SC"/>
                <w:b/>
                <w:i w:val="0"/>
                <w:color w:val="17365D"/>
                <w:sz w:val="30"/>
              </w:rPr>
              <w:t>168.6万元</w:t>
            </w:r>
          </w:p>
          <w:p>
            <w:pPr>
              <w:spacing w:before="0" w:after="0" w:line="240" w:lineRule="auto"/>
              <w:jc w:val="center"/>
            </w:pPr>
            <w:r>
              <w:rPr>
                <w:rFonts w:ascii="Arial" w:hAnsi="Arial" w:eastAsia="Noto Sans CJK SC"/>
                <w:b w:val="0"/>
                <w:i w:val="0"/>
                <w:color w:val="6B7280"/>
                <w:sz w:val="15"/>
              </w:rPr>
              <w:t>公式待补</w:t>
            </w:r>
          </w:p>
        </w:tc>
      </w:tr>
    </w:tbl>
    <w:p>
      <w:pPr>
        <w:spacing w:after="40"/>
      </w:pPr>
    </w:p>
    <w:p>
      <w:r>
        <w:drawing>
          <wp:inline xmlns:a="http://schemas.openxmlformats.org/drawingml/2006/main" xmlns:pic="http://schemas.openxmlformats.org/drawingml/2006/picture">
            <wp:extent cx="5852160" cy="2465058"/>
            <wp:docPr id="1" name="Picture 1"/>
            <wp:cNvGraphicFramePr>
              <a:graphicFrameLocks noChangeAspect="1"/>
            </wp:cNvGraphicFramePr>
            <a:graphic>
              <a:graphicData uri="http://schemas.openxmlformats.org/drawingml/2006/picture">
                <pic:pic>
                  <pic:nvPicPr>
                    <pic:cNvPr id="0" name="psm_quality.png"/>
                    <pic:cNvPicPr/>
                  </pic:nvPicPr>
                  <pic:blipFill>
                    <a:blip r:embed="rId11"/>
                    <a:stretch>
                      <a:fillRect/>
                    </a:stretch>
                  </pic:blipFill>
                  <pic:spPr>
                    <a:xfrm>
                      <a:off x="0" y="0"/>
                      <a:ext cx="5852160" cy="2465058"/>
                    </a:xfrm>
                    <a:prstGeom prst="rect"/>
                  </pic:spPr>
                </pic:pic>
              </a:graphicData>
            </a:graphic>
          </wp:inline>
        </w:drawing>
      </w:r>
    </w:p>
    <w:p>
      <w:pPr>
        <w:spacing w:before="0" w:after="100" w:line="240" w:lineRule="auto"/>
        <w:jc w:val="center"/>
      </w:pPr>
      <w:r>
        <w:rPr>
          <w:rFonts w:ascii="Arial" w:hAnsi="Arial" w:eastAsia="Noto Sans CJK SC"/>
          <w:b w:val="0"/>
          <w:i w:val="0"/>
          <w:color w:val="6B7280"/>
          <w:sz w:val="17"/>
        </w:rPr>
        <w:t>图1  PSM质量指标（来源：用户提供界面截图；未经底层数据核验）</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4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指标</w:t>
            </w:r>
          </w:p>
        </w:tc>
        <w:tc>
          <w:tcPr>
            <w:tcW w:type="dxa" w:w="180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界面结果</w:t>
            </w:r>
          </w:p>
        </w:tc>
        <w:tc>
          <w:tcPr>
            <w:tcW w:type="dxa" w:w="554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草案解释</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覆盖人群</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1,280人</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需确认是匹配前合格人群还是报告总人群</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匹配后样本</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640:640</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暂按1:1干预组与对照组理解</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匹配率</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99.2%</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需明确分母及匹配失败人数</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平衡达标比例</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94.6%</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94.6%的检查项达到SMD&lt;0.1</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统计显著性</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p&lt;0.01</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缺少效应量、95%CI和检验方法</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归因节省</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168.6万元</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需补充结局口径、成本单价和公式</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干预类型</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生活方式干预</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需补充干预内容和依从性定义</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随访周期</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12个月</w:t>
            </w:r>
          </w:p>
        </w:tc>
        <w:tc>
          <w:tcPr>
            <w:tcW w:type="dxa" w:w="55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需确认索引日期和删失规则</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6. 结果解释</w:t>
      </w:r>
    </w:p>
    <w:p>
      <w:pPr>
        <w:spacing w:before="0" w:after="80" w:line="324" w:lineRule="auto"/>
      </w:pPr>
      <w:r>
        <w:rPr>
          <w:rFonts w:ascii="Arial" w:hAnsi="Arial" w:eastAsia="Noto Sans CJK SC"/>
          <w:b w:val="0"/>
          <w:i w:val="0"/>
          <w:color w:val="111827"/>
          <w:sz w:val="21"/>
        </w:rPr>
        <w:t>在界面结果真实、数据口径一致且模型设定合理的前提下，本分析显示心血管生活方式干预组与匹配对照组之间存在统计学差异，匹配率较高，大多数协变量达到预设平衡阈值。系统同时给出168.6万元归因节省估算。</w:t>
      </w:r>
    </w:p>
    <w:tbl>
      <w:tblPr>
        <w:tblW w:type="auto" w:w="0"/>
        <w:jc w:val="center"/>
        <w:tblLayout w:type="autofit"/>
        <w:tblLook w:firstColumn="1" w:firstRow="1" w:lastColumn="0" w:lastRow="0" w:noHBand="0" w:noVBand="1" w:val="04A0"/>
      </w:tblPr>
      <w:tblGrid>
        <w:gridCol w:w="9972"/>
      </w:tblGrid>
      <w:tr>
        <w:tc>
          <w:tcPr>
            <w:tcW w:type="dxa" w:w="9972"/>
            <w:shd w:fill="FEF2F2"/>
            <w:tcMar>
              <w:top w:w="130" w:type="dxa"/>
              <w:start w:w="160" w:type="dxa"/>
              <w:bottom w:w="130" w:type="dxa"/>
              <w:end w:w="160" w:type="dxa"/>
            </w:tcMar>
            <w:tcBorders>
              <w:top w:val="single" w:sz="4" w:color="FEF2F2"/>
              <w:left w:val="single" w:sz="18" w:color="DC2626"/>
              <w:bottom w:val="single" w:sz="4" w:color="FEF2F2"/>
              <w:right w:val="single" w:sz="4" w:color="FEF2F2"/>
            </w:tcBorders>
          </w:tcPr>
          <w:p>
            <w:pPr>
              <w:spacing w:before="0" w:after="60" w:line="276" w:lineRule="auto"/>
            </w:pPr>
            <w:r>
              <w:rPr>
                <w:rFonts w:ascii="Arial" w:hAnsi="Arial" w:eastAsia="Noto Sans CJK SC"/>
                <w:b/>
                <w:i w:val="0"/>
                <w:color w:val="DC2626"/>
                <w:sz w:val="21"/>
              </w:rPr>
              <w:t>谨慎解释</w:t>
            </w:r>
          </w:p>
          <w:p>
            <w:pPr>
              <w:spacing w:before="0" w:after="0" w:line="312" w:lineRule="auto"/>
            </w:pPr>
            <w:r>
              <w:rPr>
                <w:rFonts w:ascii="Arial" w:hAnsi="Arial" w:eastAsia="Noto Sans CJK SC"/>
                <w:b w:val="0"/>
                <w:i w:val="0"/>
                <w:color w:val="111827"/>
                <w:sz w:val="20"/>
              </w:rPr>
              <w:t>由于尚未提供主要结局、ATT、置信区间、具体未平衡变量、原始赔付数据和节省公式，本稿只能表述为“干预与结局改善相关”，不得表述为“干预已确定导致赔付下降”。</w:t>
            </w:r>
          </w:p>
        </w:tc>
      </w:tr>
    </w:tbl>
    <w:p>
      <w:pPr>
        <w:spacing w:after="20"/>
      </w:pPr>
    </w:p>
    <w:p>
      <w:pPr>
        <w:keepNext/>
        <w:pageBreakBefore w:val="0"/>
        <w:spacing w:before="240" w:after="140" w:line="252" w:lineRule="auto"/>
        <w:pBdr>
          <w:left w:val="single" w:sz="20" w:space="8" w:color="F59E0B"/>
        </w:pBdr>
      </w:pPr>
      <w:r>
        <w:rPr>
          <w:rFonts w:ascii="Arial" w:hAnsi="Arial" w:eastAsia="Noto Sans CJK SC"/>
          <w:b/>
          <w:i w:val="0"/>
          <w:color w:val="17365D"/>
          <w:sz w:val="32"/>
        </w:rPr>
        <w:t>7. 质量评价</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评价维度</w:t>
            </w:r>
          </w:p>
        </w:tc>
        <w:tc>
          <w:tcPr>
            <w:tcW w:type="dxa" w:w="194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当前判断</w:t>
            </w:r>
          </w:p>
        </w:tc>
        <w:tc>
          <w:tcPr>
            <w:tcW w:type="dxa" w:w="532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主要原因</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样本与匹配规模</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初步可用</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640对匹配样本，适合MVP演示</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匹配率</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较好</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界面显示99.2%</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协变量平衡</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有条件通过</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94.6%达标，但仍有未平衡变量</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效应量完整性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不通过</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缺少ATT、95%CI、组别结局值</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数据可追溯性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不通过</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缺少数据批次、队列快照和源表引用</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财务可复算性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不通过</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缺少成本公式、单价、干预成本和敏感性分析</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外部合规可用性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尚未就绪</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尚未完成协议、授权、伦理和独立复核</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8. 局限性</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观察性设计只能控制已观测混杂，无法消除未测量混杂。</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未平衡变量、干预依从性和健康意识可能形成残余混杂或选择偏倚。</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理赔数据可能存在延迟、未决、拒赔和冲正。</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数据授权撤销和保障中断可能影响随访完整性。</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当前节省金额可能是毛节省，未必扣除干预、设备和运营成本。</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当前界面未提供预注册方案、盲态分析或独立统计复核信息。</w:t>
      </w:r>
    </w:p>
    <w:p>
      <w:pPr>
        <w:keepNext/>
        <w:pageBreakBefore w:val="0"/>
        <w:spacing w:before="240" w:after="140" w:line="252" w:lineRule="auto"/>
        <w:pBdr>
          <w:left w:val="single" w:sz="20" w:space="8" w:color="F59E0B"/>
        </w:pBdr>
      </w:pPr>
      <w:r>
        <w:rPr>
          <w:rFonts w:ascii="Arial" w:hAnsi="Arial" w:eastAsia="Noto Sans CJK SC"/>
          <w:b/>
          <w:i w:val="0"/>
          <w:color w:val="17365D"/>
          <w:sz w:val="32"/>
        </w:rPr>
        <w:t>9. 草案结论</w:t>
      </w:r>
    </w:p>
    <w:p>
      <w:pPr>
        <w:spacing w:before="0" w:after="80" w:line="324" w:lineRule="auto"/>
      </w:pPr>
      <w:r>
        <w:rPr>
          <w:rFonts w:ascii="Arial" w:hAnsi="Arial" w:eastAsia="Noto Sans CJK SC"/>
          <w:b w:val="0"/>
          <w:i w:val="0"/>
          <w:color w:val="111827"/>
          <w:sz w:val="21"/>
        </w:rPr>
        <w:t>本PSM示例项目在1,280名覆盖人群中形成640对匹配样本，界面显示匹配率99.2%，94.6%的平衡检查项达到SMD&lt;0.1，统计结果为p&lt;0.01，并估算归因节省168.6万元。该结果可作为内部MVP演示和进一步方法学复核的基础，但在主要结局、效应量、置信区间、数据追溯和财务公式补齐前，不应作为正式结算或监管证据。</w:t>
      </w:r>
    </w:p>
    <w:p>
      <w:pPr>
        <w:keepNext/>
        <w:pageBreakBefore w:val="0"/>
        <w:spacing w:before="240" w:after="140" w:line="252" w:lineRule="auto"/>
        <w:pBdr>
          <w:left w:val="single" w:sz="20" w:space="8" w:color="F59E0B"/>
        </w:pBdr>
      </w:pPr>
      <w:r>
        <w:rPr>
          <w:rFonts w:ascii="Arial" w:hAnsi="Arial" w:eastAsia="Noto Sans CJK SC"/>
          <w:b/>
          <w:i w:val="0"/>
          <w:color w:val="17365D"/>
          <w:sz w:val="32"/>
        </w:rPr>
        <w:t>10. PSM项目组合附表</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288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项目</w:t>
            </w:r>
          </w:p>
        </w:tc>
        <w:tc>
          <w:tcPr>
            <w:tcW w:type="dxa" w:w="792"/>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覆盖</w:t>
            </w:r>
          </w:p>
        </w:tc>
        <w:tc>
          <w:tcPr>
            <w:tcW w:type="dxa" w:w="108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匹配样本</w:t>
            </w:r>
          </w:p>
        </w:tc>
        <w:tc>
          <w:tcPr>
            <w:tcW w:type="dxa" w:w="93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SMD达标</w:t>
            </w:r>
          </w:p>
        </w:tc>
        <w:tc>
          <w:tcPr>
            <w:tcW w:type="dxa" w:w="93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匹配率</w:t>
            </w:r>
          </w:p>
        </w:tc>
        <w:tc>
          <w:tcPr>
            <w:tcW w:type="dxa" w:w="893"/>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显著性</w:t>
            </w:r>
          </w:p>
        </w:tc>
        <w:tc>
          <w:tcPr>
            <w:tcW w:type="dxa" w:w="93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节省</w:t>
            </w:r>
          </w:p>
        </w:tc>
        <w:tc>
          <w:tcPr>
            <w:tcW w:type="dxa" w:w="93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4"/>
              </w:rPr>
              <w:t>周期</w:t>
            </w:r>
          </w:p>
        </w:tc>
      </w:tr>
      <w:tr>
        <w:tc>
          <w:tcPr>
            <w:tcW w:type="dxa" w:w="28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4"/>
              </w:rPr>
              <w:t>睿禾健康科技·心血管生活方式干预</w:t>
            </w:r>
          </w:p>
        </w:tc>
        <w:tc>
          <w:tcPr>
            <w:tcW w:type="dxa" w:w="7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1,280</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640:640</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94.6%</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99.2%</w:t>
            </w:r>
          </w:p>
        </w:tc>
        <w:tc>
          <w:tcPr>
            <w:tcW w:type="dxa" w:w="893"/>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p&lt;0.01</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168.6万</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12个月</w:t>
            </w:r>
          </w:p>
        </w:tc>
      </w:tr>
      <w:tr>
        <w:tc>
          <w:tcPr>
            <w:tcW w:type="dxa" w:w="28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4"/>
              </w:rPr>
              <w:t>某科技集团·糖尿病前期营养干预</w:t>
            </w:r>
          </w:p>
        </w:tc>
        <w:tc>
          <w:tcPr>
            <w:tcW w:type="dxa" w:w="7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420</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210:210</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88.2%</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96.8%</w:t>
            </w:r>
          </w:p>
        </w:tc>
        <w:tc>
          <w:tcPr>
            <w:tcW w:type="dxa" w:w="893"/>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p&lt;0.05</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89.4万</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16周</w:t>
            </w:r>
          </w:p>
        </w:tc>
      </w:tr>
      <w:tr>
        <w:tc>
          <w:tcPr>
            <w:tcW w:type="dxa" w:w="28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4"/>
              </w:rPr>
              <w:t>某金融集团·综合健康管理</w:t>
            </w:r>
          </w:p>
        </w:tc>
        <w:tc>
          <w:tcPr>
            <w:tcW w:type="dxa" w:w="7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2,640</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1320:1320</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97.1%</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99.8%</w:t>
            </w:r>
          </w:p>
        </w:tc>
        <w:tc>
          <w:tcPr>
            <w:tcW w:type="dxa" w:w="893"/>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p&lt;0.001</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412.8万</w:t>
            </w:r>
          </w:p>
        </w:tc>
        <w:tc>
          <w:tcPr>
            <w:tcW w:type="dxa" w:w="93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4"/>
              </w:rPr>
              <w:t>24周</w:t>
            </w:r>
          </w:p>
        </w:tc>
      </w:tr>
    </w:tbl>
    <w:p>
      <w:pPr>
        <w:spacing w:after="40"/>
      </w:pPr>
    </w:p>
    <w:p>
      <w:r>
        <w:br w:type="page"/>
      </w:r>
    </w:p>
    <w:p>
      <w:pPr>
        <w:spacing w:before="1400" w:after="200" w:line="240" w:lineRule="auto"/>
        <w:jc w:val="center"/>
      </w:pPr>
      <w:r>
        <w:rPr>
          <w:rFonts w:ascii="Arial" w:hAnsi="Arial" w:eastAsia="Noto Sans CJK SC"/>
          <w:b/>
          <w:i w:val="0"/>
          <w:color w:val="F59E0B"/>
          <w:sz w:val="26"/>
        </w:rPr>
        <w:t>第二部分</w:t>
      </w:r>
    </w:p>
    <w:p>
      <w:pPr>
        <w:spacing w:before="0" w:after="200" w:line="240" w:lineRule="auto"/>
        <w:jc w:val="center"/>
      </w:pPr>
      <w:r>
        <w:rPr>
          <w:rFonts w:ascii="Arial" w:hAnsi="Arial" w:eastAsia="Noto Sans CJK SC"/>
          <w:b/>
          <w:i w:val="0"/>
          <w:color w:val="17365D"/>
          <w:sz w:val="44"/>
        </w:rPr>
        <w:t>RWE赔付节省量化报告（Draft）</w:t>
      </w:r>
    </w:p>
    <w:p>
      <w:pPr>
        <w:spacing w:before="0" w:after="400" w:line="240" w:lineRule="auto"/>
        <w:jc w:val="center"/>
      </w:pPr>
      <w:r>
        <w:rPr>
          <w:rFonts w:ascii="Arial" w:hAnsi="Arial" w:eastAsia="Noto Sans CJK SC"/>
          <w:b w:val="0"/>
          <w:i w:val="0"/>
          <w:color w:val="6B7280"/>
          <w:sz w:val="23"/>
        </w:rPr>
        <w:t>基于PSM归因结果的保险健康管理效果与财务影响草案</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文档名称</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基于PSM归因的赔付节省量化与真实世界证据报告</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版本</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Draft V0.1</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报告编号</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RH-RWE-2026Q1-DRAFT-001</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报告日期</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2026-08-12</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报告状态</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内部评审稿</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数据口径</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界面截图提取，尚未完成源数据核验</w:t>
            </w:r>
          </w:p>
        </w:tc>
      </w:tr>
      <w:tr>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拟使用场景</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产品演示、内部方法学评审</w:t>
            </w:r>
          </w:p>
        </w:tc>
        <w:tc>
          <w:tcPr>
            <w:tcW w:type="dxa" w:w="1440"/>
            <w:tcMar>
              <w:top w:w="80" w:type="dxa"/>
              <w:start w:w="90" w:type="dxa"/>
              <w:bottom w:w="80" w:type="dxa"/>
              <w:end w:w="90" w:type="dxa"/>
            </w:tcMar>
            <w:shd w:fill="EEF4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i w:val="0"/>
                <w:color w:val="17365D"/>
                <w:sz w:val="17"/>
              </w:rPr>
              <w:t>禁止用途</w:t>
            </w:r>
          </w:p>
        </w:tc>
        <w:tc>
          <w:tcPr>
            <w:tcW w:type="dxa" w:w="3384"/>
            <w:tcMar>
              <w:top w:w="80" w:type="dxa"/>
              <w:start w:w="90" w:type="dxa"/>
              <w:bottom w:w="80" w:type="dxa"/>
              <w:end w:w="90" w:type="dxa"/>
            </w:tcMar>
            <w:shd w:fill="FFFFFF"/>
            <w:tcBorders>
              <w:top w:val="single" w:sz="4" w:color="D9E2F2"/>
              <w:left w:val="single" w:sz="4" w:color="D9E2F2"/>
              <w:bottom w:val="single" w:sz="4" w:color="D9E2F2"/>
              <w:right w:val="single" w:sz="4" w:color="D9E2F2"/>
            </w:tcBorders>
          </w:tcPr>
          <w:p>
            <w:pPr>
              <w:spacing w:before="0" w:after="0" w:line="240" w:lineRule="auto"/>
              <w:jc w:val="left"/>
            </w:pPr>
            <w:r>
              <w:rPr>
                <w:rFonts w:ascii="Arial" w:hAnsi="Arial" w:eastAsia="Noto Sans CJK SC"/>
                <w:b w:val="0"/>
                <w:i w:val="0"/>
                <w:color w:val="111827"/>
                <w:sz w:val="17"/>
              </w:rPr>
              <w:t>监管提交、正式保险结算、对外因果宣传</w:t>
            </w:r>
          </w:p>
        </w:tc>
      </w:tr>
    </w:tbl>
    <w:p>
      <w:pPr>
        <w:spacing w:after="60"/>
      </w:pPr>
    </w:p>
    <w:p>
      <w:pPr>
        <w:keepNext/>
        <w:pageBreakBefore w:val="0"/>
        <w:spacing w:before="240" w:after="140" w:line="252" w:lineRule="auto"/>
        <w:pBdr>
          <w:left w:val="single" w:sz="20" w:space="8" w:color="F59E0B"/>
        </w:pBdr>
      </w:pPr>
      <w:r>
        <w:rPr>
          <w:rFonts w:ascii="Arial" w:hAnsi="Arial" w:eastAsia="Noto Sans CJK SC"/>
          <w:b/>
          <w:i w:val="0"/>
          <w:color w:val="17365D"/>
          <w:sz w:val="32"/>
        </w:rPr>
        <w:t>1. 报告基本信息</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7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8"/>
              </w:rPr>
              <w:t>项目</w:t>
            </w:r>
          </w:p>
        </w:tc>
        <w:tc>
          <w:tcPr>
            <w:tcW w:type="dxa" w:w="684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8"/>
              </w:rPr>
              <w:t>内容</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目标用途</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保险健康管理效果评价与内部结算准备</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覆盖人群</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8,642人</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险种范围</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补充医疗险、重疾险、住院津贴</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界面所示报告状态</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3/5达到内部提交门槛，具体规则待核验</w:t>
            </w:r>
          </w:p>
        </w:tc>
      </w:tr>
      <w:tr>
        <w:tc>
          <w:tcPr>
            <w:tcW w:type="dxa" w:w="237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8"/>
              </w:rPr>
              <w:t>当前状态</w:t>
            </w:r>
          </w:p>
        </w:tc>
        <w:tc>
          <w:tcPr>
            <w:tcW w:type="dxa" w:w="68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8"/>
              </w:rPr>
              <w:t>内部评审稿，不代表监管机构认可</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2. 研究目的</w:t>
      </w:r>
    </w:p>
    <w:p>
      <w:pPr>
        <w:spacing w:before="0" w:after="80" w:line="324" w:lineRule="auto"/>
      </w:pPr>
      <w:r>
        <w:rPr>
          <w:rFonts w:ascii="Arial" w:hAnsi="Arial" w:eastAsia="Noto Sans CJK SC"/>
          <w:b w:val="0"/>
          <w:i w:val="0"/>
          <w:color w:val="111827"/>
          <w:sz w:val="21"/>
        </w:rPr>
        <w:t>使用真实保单、理赔、干预和健康管理数据，在预先定义的观察性研究方案下，通过PSM构建可比对照组，估算干预与赔付发生或赔付成本之间的关联，并形成可追溯、可复算的财务影响分析。</w:t>
      </w:r>
    </w:p>
    <w:p>
      <w:pPr>
        <w:keepNext/>
        <w:pageBreakBefore w:val="0"/>
        <w:spacing w:before="240" w:after="140" w:line="252" w:lineRule="auto"/>
        <w:pBdr>
          <w:left w:val="single" w:sz="20" w:space="8" w:color="F59E0B"/>
        </w:pBdr>
      </w:pPr>
      <w:r>
        <w:rPr>
          <w:rFonts w:ascii="Arial" w:hAnsi="Arial" w:eastAsia="Noto Sans CJK SC"/>
          <w:b/>
          <w:i w:val="0"/>
          <w:color w:val="17365D"/>
          <w:sz w:val="32"/>
        </w:rPr>
        <w:t>3. 数据来源与研究人群</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明确各险种对应的保险计划、保单范围和连续在保条件。</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明确理赔发生日、支付日、未决准备金、拒赔和冲正规则。</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核验App用户与被保人身份绑定以及授权目的和范围。</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定义干预入组、暴露强度、完成状态和依从性。</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明确“赔付率”的分母、统计单位和8,642人是否为去重独立被保人。</w:t>
      </w:r>
    </w:p>
    <w:p>
      <w:pPr>
        <w:keepNext/>
        <w:pageBreakBefore w:val="0"/>
        <w:spacing w:before="240" w:after="140" w:line="252" w:lineRule="auto"/>
        <w:pBdr>
          <w:left w:val="single" w:sz="20" w:space="8" w:color="F59E0B"/>
        </w:pBdr>
      </w:pPr>
      <w:r>
        <w:rPr>
          <w:rFonts w:ascii="Arial" w:hAnsi="Arial" w:eastAsia="Noto Sans CJK SC"/>
          <w:b/>
          <w:i w:val="0"/>
          <w:color w:val="17365D"/>
          <w:sz w:val="32"/>
        </w:rPr>
        <w:t>4. 统计与经济学方法</w:t>
      </w:r>
    </w:p>
    <w:p>
      <w:pPr>
        <w:keepNext/>
        <w:spacing w:before="160" w:after="80" w:line="252" w:lineRule="auto"/>
      </w:pPr>
      <w:r>
        <w:rPr>
          <w:rFonts w:ascii="Arial" w:hAnsi="Arial" w:eastAsia="Noto Sans CJK SC"/>
          <w:b/>
          <w:i w:val="0"/>
          <w:color w:val="17365D"/>
          <w:sz w:val="25"/>
        </w:rPr>
        <w:t>4.1 主要结局口径</w:t>
      </w:r>
    </w:p>
    <w:p>
      <w:pPr>
        <w:spacing w:before="0" w:after="80" w:line="324" w:lineRule="auto"/>
      </w:pPr>
      <w:r>
        <w:rPr>
          <w:rFonts w:ascii="Arial" w:hAnsi="Arial" w:eastAsia="Noto Sans CJK SC"/>
          <w:b w:val="0"/>
          <w:i w:val="0"/>
          <w:color w:val="111827"/>
          <w:sz w:val="21"/>
        </w:rPr>
        <w:t>界面使用“赔付率”，但该术语可能表示有赔付被保人数/覆盖人数、理赔案件数/覆盖人数、赔款金额/保费或其他内部指标。正式报告必须固定一个定义。若分母是覆盖人数，建议改称“赔付发生率”；若分母是保费，应同步接入已赚保费并说明赔款口径。</w:t>
      </w:r>
    </w:p>
    <w:p>
      <w:pPr>
        <w:keepNext/>
        <w:spacing w:before="160" w:after="80" w:line="252" w:lineRule="auto"/>
      </w:pPr>
      <w:r>
        <w:rPr>
          <w:rFonts w:ascii="Arial" w:hAnsi="Arial" w:eastAsia="Noto Sans CJK SC"/>
          <w:b/>
          <w:i w:val="0"/>
          <w:color w:val="17365D"/>
          <w:sz w:val="25"/>
        </w:rPr>
        <w:t>4.2 归因节省公式</w:t>
      </w:r>
    </w:p>
    <w:tbl>
      <w:tblPr>
        <w:tblW w:type="auto" w:w="0"/>
        <w:jc w:val="center"/>
        <w:tblLayout w:type="autofit"/>
        <w:tblLook w:firstColumn="1" w:firstRow="1" w:lastColumn="0" w:lastRow="0" w:noHBand="0" w:noVBand="1" w:val="04A0"/>
      </w:tblPr>
      <w:tblGrid>
        <w:gridCol w:w="9972"/>
      </w:tblGrid>
      <w:tr>
        <w:tc>
          <w:tcPr>
            <w:tcW w:type="dxa" w:w="9972"/>
            <w:shd w:fill="EEF4FF"/>
            <w:tcMar>
              <w:top w:w="130" w:type="dxa"/>
              <w:start w:w="160" w:type="dxa"/>
              <w:bottom w:w="130" w:type="dxa"/>
              <w:end w:w="160" w:type="dxa"/>
            </w:tcMar>
            <w:tcBorders>
              <w:top w:val="single" w:sz="4" w:color="EEF4FF"/>
              <w:left w:val="single" w:sz="18" w:color="2563EB"/>
              <w:bottom w:val="single" w:sz="4" w:color="EEF4FF"/>
              <w:right w:val="single" w:sz="4" w:color="EEF4FF"/>
            </w:tcBorders>
          </w:tcPr>
          <w:p>
            <w:pPr>
              <w:spacing w:before="0" w:after="60" w:line="276" w:lineRule="auto"/>
            </w:pPr>
            <w:r>
              <w:rPr>
                <w:rFonts w:ascii="Arial" w:hAnsi="Arial" w:eastAsia="Noto Sans CJK SC"/>
                <w:b/>
                <w:i w:val="0"/>
                <w:color w:val="2563EB"/>
                <w:sz w:val="21"/>
              </w:rPr>
              <w:t>发生率型结局</w:t>
            </w:r>
          </w:p>
          <w:p>
            <w:pPr>
              <w:spacing w:before="0" w:after="0" w:line="312" w:lineRule="auto"/>
            </w:pPr>
            <w:r>
              <w:rPr>
                <w:rFonts w:ascii="Arial" w:hAnsi="Arial" w:eastAsia="Noto Sans CJK SC"/>
                <w:b w:val="0"/>
                <w:i w:val="0"/>
                <w:color w:val="111827"/>
                <w:sz w:val="20"/>
              </w:rPr>
              <w:t>毛节省 = 覆盖人数 ×（匹配对照组发生率 - 干预组发生率）× 合同约定平均赔付成本</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ECFDF5"/>
            <w:tcMar>
              <w:top w:w="130" w:type="dxa"/>
              <w:start w:w="160" w:type="dxa"/>
              <w:bottom w:w="130" w:type="dxa"/>
              <w:end w:w="160" w:type="dxa"/>
            </w:tcMar>
            <w:tcBorders>
              <w:top w:val="single" w:sz="4" w:color="ECFDF5"/>
              <w:left w:val="single" w:sz="18" w:color="059669"/>
              <w:bottom w:val="single" w:sz="4" w:color="ECFDF5"/>
              <w:right w:val="single" w:sz="4" w:color="ECFDF5"/>
            </w:tcBorders>
          </w:tcPr>
          <w:p>
            <w:pPr>
              <w:spacing w:before="0" w:after="60" w:line="276" w:lineRule="auto"/>
            </w:pPr>
            <w:r>
              <w:rPr>
                <w:rFonts w:ascii="Arial" w:hAnsi="Arial" w:eastAsia="Noto Sans CJK SC"/>
                <w:b/>
                <w:i w:val="0"/>
                <w:color w:val="059669"/>
                <w:sz w:val="21"/>
              </w:rPr>
              <w:t>金额型结局</w:t>
            </w:r>
          </w:p>
          <w:p>
            <w:pPr>
              <w:spacing w:before="0" w:after="0" w:line="312" w:lineRule="auto"/>
            </w:pPr>
            <w:r>
              <w:rPr>
                <w:rFonts w:ascii="Arial" w:hAnsi="Arial" w:eastAsia="Noto Sans CJK SC"/>
                <w:b w:val="0"/>
                <w:i w:val="0"/>
                <w:color w:val="111827"/>
                <w:sz w:val="20"/>
              </w:rPr>
              <w:t>毛节省 = 覆盖人数 ×（匹配对照组人均赔付金额 - 干预组人均赔付金额）</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FFF7E6"/>
            <w:tcMar>
              <w:top w:w="130" w:type="dxa"/>
              <w:start w:w="160" w:type="dxa"/>
              <w:bottom w:w="130" w:type="dxa"/>
              <w:end w:w="160" w:type="dxa"/>
            </w:tcMar>
            <w:tcBorders>
              <w:top w:val="single" w:sz="4" w:color="FFF7E6"/>
              <w:left w:val="single" w:sz="18" w:color="F59E0B"/>
              <w:bottom w:val="single" w:sz="4" w:color="FFF7E6"/>
              <w:right w:val="single" w:sz="4" w:color="FFF7E6"/>
            </w:tcBorders>
          </w:tcPr>
          <w:p>
            <w:pPr>
              <w:spacing w:before="0" w:after="60" w:line="276" w:lineRule="auto"/>
            </w:pPr>
            <w:r>
              <w:rPr>
                <w:rFonts w:ascii="Arial" w:hAnsi="Arial" w:eastAsia="Noto Sans CJK SC"/>
                <w:b/>
                <w:i w:val="0"/>
                <w:color w:val="F59E0B"/>
                <w:sz w:val="21"/>
              </w:rPr>
              <w:t>最终净收益</w:t>
            </w:r>
          </w:p>
          <w:p>
            <w:pPr>
              <w:spacing w:before="0" w:after="0" w:line="312" w:lineRule="auto"/>
            </w:pPr>
            <w:r>
              <w:rPr>
                <w:rFonts w:ascii="Arial" w:hAnsi="Arial" w:eastAsia="Noto Sans CJK SC"/>
                <w:b w:val="0"/>
                <w:i w:val="0"/>
                <w:color w:val="111827"/>
                <w:sz w:val="20"/>
              </w:rPr>
              <w:t>净收益 = 毛节省 - 干预服务成本 - 设备成本 - 运营成本 - 数据处理成本 ± 合同调整项</w:t>
            </w:r>
          </w:p>
        </w:tc>
      </w:tr>
    </w:tbl>
    <w:p>
      <w:pPr>
        <w:spacing w:after="20"/>
      </w:pPr>
    </w:p>
    <w:p>
      <w:pPr>
        <w:keepNext/>
        <w:pageBreakBefore w:val="0"/>
        <w:spacing w:before="240" w:after="140" w:line="252" w:lineRule="auto"/>
        <w:pBdr>
          <w:left w:val="single" w:sz="20" w:space="8" w:color="F59E0B"/>
        </w:pBdr>
      </w:pPr>
      <w:r>
        <w:rPr>
          <w:rFonts w:ascii="Arial" w:hAnsi="Arial" w:eastAsia="Noto Sans CJK SC"/>
          <w:b/>
          <w:i w:val="0"/>
          <w:color w:val="17365D"/>
          <w:sz w:val="32"/>
        </w:rPr>
        <w:t>5. 界面结果摘要</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232"/>
            <w:shd w:fill="FFF7E6"/>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覆盖被保人</w:t>
            </w:r>
          </w:p>
          <w:p>
            <w:pPr>
              <w:spacing w:before="0" w:after="60" w:line="240" w:lineRule="auto"/>
              <w:jc w:val="center"/>
            </w:pPr>
            <w:r>
              <w:rPr>
                <w:rFonts w:ascii="Arial" w:hAnsi="Arial" w:eastAsia="Noto Sans CJK SC"/>
                <w:b/>
                <w:i w:val="0"/>
                <w:color w:val="17365D"/>
                <w:sz w:val="30"/>
              </w:rPr>
              <w:t>8,642人</w:t>
            </w:r>
          </w:p>
          <w:p>
            <w:pPr>
              <w:spacing w:before="0" w:after="0" w:line="240" w:lineRule="auto"/>
              <w:jc w:val="center"/>
            </w:pPr>
            <w:r>
              <w:rPr>
                <w:rFonts w:ascii="Arial" w:hAnsi="Arial" w:eastAsia="Noto Sans CJK SC"/>
                <w:b w:val="0"/>
                <w:i w:val="0"/>
                <w:color w:val="6B7280"/>
                <w:sz w:val="15"/>
              </w:rPr>
              <w:t>有效干预口径</w:t>
            </w:r>
          </w:p>
        </w:tc>
        <w:tc>
          <w:tcPr>
            <w:tcW w:type="dxa" w:w="2232"/>
            <w:shd w:fill="ECFDF5"/>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总体干预组率</w:t>
            </w:r>
          </w:p>
          <w:p>
            <w:pPr>
              <w:spacing w:before="0" w:after="60" w:line="240" w:lineRule="auto"/>
              <w:jc w:val="center"/>
            </w:pPr>
            <w:r>
              <w:rPr>
                <w:rFonts w:ascii="Arial" w:hAnsi="Arial" w:eastAsia="Noto Sans CJK SC"/>
                <w:b/>
                <w:i w:val="0"/>
                <w:color w:val="17365D"/>
                <w:sz w:val="30"/>
              </w:rPr>
              <w:t>38.6%</w:t>
            </w:r>
          </w:p>
          <w:p>
            <w:pPr>
              <w:spacing w:before="0" w:after="0" w:line="240" w:lineRule="auto"/>
              <w:jc w:val="center"/>
            </w:pPr>
            <w:r>
              <w:rPr>
                <w:rFonts w:ascii="Arial" w:hAnsi="Arial" w:eastAsia="Noto Sans CJK SC"/>
                <w:b w:val="0"/>
                <w:i w:val="0"/>
                <w:color w:val="6B7280"/>
                <w:sz w:val="15"/>
              </w:rPr>
              <w:t>界面所示</w:t>
            </w:r>
          </w:p>
        </w:tc>
        <w:tc>
          <w:tcPr>
            <w:tcW w:type="dxa" w:w="2232"/>
            <w:shd w:fill="F5F3FF"/>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总体对照组率</w:t>
            </w:r>
          </w:p>
          <w:p>
            <w:pPr>
              <w:spacing w:before="0" w:after="60" w:line="240" w:lineRule="auto"/>
              <w:jc w:val="center"/>
            </w:pPr>
            <w:r>
              <w:rPr>
                <w:rFonts w:ascii="Arial" w:hAnsi="Arial" w:eastAsia="Noto Sans CJK SC"/>
                <w:b/>
                <w:i w:val="0"/>
                <w:color w:val="17365D"/>
                <w:sz w:val="30"/>
              </w:rPr>
              <w:t>52.9%</w:t>
            </w:r>
          </w:p>
          <w:p>
            <w:pPr>
              <w:spacing w:before="0" w:after="0" w:line="240" w:lineRule="auto"/>
              <w:jc w:val="center"/>
            </w:pPr>
            <w:r>
              <w:rPr>
                <w:rFonts w:ascii="Arial" w:hAnsi="Arial" w:eastAsia="Noto Sans CJK SC"/>
                <w:b w:val="0"/>
                <w:i w:val="0"/>
                <w:color w:val="6B7280"/>
                <w:sz w:val="15"/>
              </w:rPr>
              <w:t>界面所示</w:t>
            </w:r>
          </w:p>
        </w:tc>
        <w:tc>
          <w:tcPr>
            <w:tcW w:type="dxa" w:w="2232"/>
            <w:shd w:fill="EEF4FF"/>
            <w:tcMar>
              <w:top w:w="120" w:type="dxa"/>
              <w:start w:w="110" w:type="dxa"/>
              <w:bottom w:w="120" w:type="dxa"/>
              <w:end w:w="110" w:type="dxa"/>
            </w:tcMar>
            <w:tcBorders>
              <w:top w:val="single" w:sz="4" w:color="D9E2F2"/>
              <w:left w:val="single" w:sz="4" w:color="D9E2F2"/>
              <w:bottom w:val="single" w:sz="4" w:color="D9E2F2"/>
              <w:right w:val="single" w:sz="4" w:color="D9E2F2"/>
            </w:tcBorders>
          </w:tcPr>
          <w:p>
            <w:pPr>
              <w:spacing w:before="0" w:after="80" w:line="240" w:lineRule="auto"/>
              <w:jc w:val="center"/>
            </w:pPr>
            <w:r>
              <w:rPr>
                <w:rFonts w:ascii="Arial" w:hAnsi="Arial" w:eastAsia="Noto Sans CJK SC"/>
                <w:b w:val="0"/>
                <w:i w:val="0"/>
                <w:color w:val="6B7280"/>
                <w:sz w:val="17"/>
              </w:rPr>
              <w:t>系统估算节省</w:t>
            </w:r>
          </w:p>
          <w:p>
            <w:pPr>
              <w:spacing w:before="0" w:after="60" w:line="240" w:lineRule="auto"/>
              <w:jc w:val="center"/>
            </w:pPr>
            <w:r>
              <w:rPr>
                <w:rFonts w:ascii="Arial" w:hAnsi="Arial" w:eastAsia="Noto Sans CJK SC"/>
                <w:b/>
                <w:i w:val="0"/>
                <w:color w:val="17365D"/>
                <w:sz w:val="30"/>
              </w:rPr>
              <w:t>2,840.2万元</w:t>
            </w:r>
          </w:p>
          <w:p>
            <w:pPr>
              <w:spacing w:before="0" w:after="0" w:line="240" w:lineRule="auto"/>
              <w:jc w:val="center"/>
            </w:pPr>
            <w:r>
              <w:rPr>
                <w:rFonts w:ascii="Arial" w:hAnsi="Arial" w:eastAsia="Noto Sans CJK SC"/>
                <w:b w:val="0"/>
                <w:i w:val="0"/>
                <w:color w:val="6B7280"/>
                <w:sz w:val="15"/>
              </w:rPr>
              <w:t>三个险种合计</w:t>
            </w:r>
          </w:p>
        </w:tc>
      </w:tr>
    </w:tbl>
    <w:p>
      <w:pPr>
        <w:spacing w:after="40"/>
      </w:pP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65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险种</w:t>
            </w:r>
          </w:p>
        </w:tc>
        <w:tc>
          <w:tcPr>
            <w:tcW w:type="dxa" w:w="136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干预组率</w:t>
            </w:r>
          </w:p>
        </w:tc>
        <w:tc>
          <w:tcPr>
            <w:tcW w:type="dxa" w:w="136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对照组率</w:t>
            </w:r>
          </w:p>
        </w:tc>
        <w:tc>
          <w:tcPr>
            <w:tcW w:type="dxa" w:w="180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归因差值</w:t>
            </w:r>
          </w:p>
        </w:tc>
        <w:tc>
          <w:tcPr>
            <w:tcW w:type="dxa" w:w="1296"/>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覆盖人数</w:t>
            </w:r>
          </w:p>
        </w:tc>
        <w:tc>
          <w:tcPr>
            <w:tcW w:type="dxa" w:w="158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节省（万元）</w:t>
            </w:r>
          </w:p>
        </w:tc>
      </w:tr>
      <w:tr>
        <w:tc>
          <w:tcPr>
            <w:tcW w:type="dxa" w:w="165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补充医疗险</w:t>
            </w:r>
          </w:p>
        </w:tc>
        <w:tc>
          <w:tcPr>
            <w:tcW w:type="dxa" w:w="136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41.3%</w:t>
            </w:r>
          </w:p>
        </w:tc>
        <w:tc>
          <w:tcPr>
            <w:tcW w:type="dxa" w:w="136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52.5%</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-11.2个百分点</w:t>
            </w:r>
          </w:p>
        </w:tc>
        <w:tc>
          <w:tcPr>
            <w:tcW w:type="dxa" w:w="129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4,820</w:t>
            </w:r>
          </w:p>
        </w:tc>
        <w:tc>
          <w:tcPr>
            <w:tcW w:type="dxa" w:w="158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1,284.6</w:t>
            </w:r>
          </w:p>
        </w:tc>
      </w:tr>
      <w:tr>
        <w:tc>
          <w:tcPr>
            <w:tcW w:type="dxa" w:w="165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重疾险</w:t>
            </w:r>
          </w:p>
        </w:tc>
        <w:tc>
          <w:tcPr>
            <w:tcW w:type="dxa" w:w="136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28.6%</w:t>
            </w:r>
          </w:p>
        </w:tc>
        <w:tc>
          <w:tcPr>
            <w:tcW w:type="dxa" w:w="136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47.0%</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-18.4个百分点</w:t>
            </w:r>
          </w:p>
        </w:tc>
        <w:tc>
          <w:tcPr>
            <w:tcW w:type="dxa" w:w="129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2,240</w:t>
            </w:r>
          </w:p>
        </w:tc>
        <w:tc>
          <w:tcPr>
            <w:tcW w:type="dxa" w:w="158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892.4</w:t>
            </w:r>
          </w:p>
        </w:tc>
      </w:tr>
      <w:tr>
        <w:tc>
          <w:tcPr>
            <w:tcW w:type="dxa" w:w="165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住院津贴</w:t>
            </w:r>
          </w:p>
        </w:tc>
        <w:tc>
          <w:tcPr>
            <w:tcW w:type="dxa" w:w="136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45.8%</w:t>
            </w:r>
          </w:p>
        </w:tc>
        <w:tc>
          <w:tcPr>
            <w:tcW w:type="dxa" w:w="136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52.6%</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-6.8个百分点</w:t>
            </w:r>
          </w:p>
        </w:tc>
        <w:tc>
          <w:tcPr>
            <w:tcW w:type="dxa" w:w="1296"/>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1,582</w:t>
            </w:r>
          </w:p>
        </w:tc>
        <w:tc>
          <w:tcPr>
            <w:tcW w:type="dxa" w:w="158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663.2</w:t>
            </w:r>
          </w:p>
        </w:tc>
      </w:tr>
      <w:tr>
        <w:tc>
          <w:tcPr>
            <w:tcW w:type="dxa" w:w="1656"/>
            <w:shd w:fill="ECFDF5"/>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合计/总体</w:t>
            </w:r>
          </w:p>
        </w:tc>
        <w:tc>
          <w:tcPr>
            <w:tcW w:type="dxa" w:w="1368"/>
            <w:shd w:fill="ECFDF5"/>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i w:val="0"/>
                <w:color w:val="111827"/>
                <w:sz w:val="17"/>
              </w:rPr>
              <w:t>38.6%</w:t>
            </w:r>
          </w:p>
        </w:tc>
        <w:tc>
          <w:tcPr>
            <w:tcW w:type="dxa" w:w="1368"/>
            <w:shd w:fill="ECFDF5"/>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i w:val="0"/>
                <w:color w:val="111827"/>
                <w:sz w:val="17"/>
              </w:rPr>
              <w:t>52.9%</w:t>
            </w:r>
          </w:p>
        </w:tc>
        <w:tc>
          <w:tcPr>
            <w:tcW w:type="dxa" w:w="1800"/>
            <w:shd w:fill="ECFDF5"/>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i w:val="0"/>
                <w:color w:val="111827"/>
                <w:sz w:val="17"/>
              </w:rPr>
              <w:t>-14.3个百分点</w:t>
            </w:r>
          </w:p>
        </w:tc>
        <w:tc>
          <w:tcPr>
            <w:tcW w:type="dxa" w:w="1296"/>
            <w:shd w:fill="ECFDF5"/>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i w:val="0"/>
                <w:color w:val="111827"/>
                <w:sz w:val="17"/>
              </w:rPr>
              <w:t>8,642</w:t>
            </w:r>
          </w:p>
        </w:tc>
        <w:tc>
          <w:tcPr>
            <w:tcW w:type="dxa" w:w="1584"/>
            <w:shd w:fill="ECFDF5"/>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i w:val="0"/>
                <w:color w:val="111827"/>
                <w:sz w:val="17"/>
              </w:rPr>
              <w:t>2,840.2</w:t>
            </w:r>
          </w:p>
        </w:tc>
      </w:tr>
    </w:tbl>
    <w:p>
      <w:pPr>
        <w:spacing w:after="40"/>
      </w:pPr>
    </w:p>
    <w:p>
      <w:r>
        <w:drawing>
          <wp:inline xmlns:a="http://schemas.openxmlformats.org/drawingml/2006/main" xmlns:pic="http://schemas.openxmlformats.org/drawingml/2006/picture">
            <wp:extent cx="5852160" cy="2889447"/>
            <wp:docPr id="2" name="Picture 2"/>
            <wp:cNvGraphicFramePr>
              <a:graphicFrameLocks noChangeAspect="1"/>
            </wp:cNvGraphicFramePr>
            <a:graphic>
              <a:graphicData uri="http://schemas.openxmlformats.org/drawingml/2006/picture">
                <pic:pic>
                  <pic:nvPicPr>
                    <pic:cNvPr id="0" name="rwe_rates.png"/>
                    <pic:cNvPicPr/>
                  </pic:nvPicPr>
                  <pic:blipFill>
                    <a:blip r:embed="rId12"/>
                    <a:stretch>
                      <a:fillRect/>
                    </a:stretch>
                  </pic:blipFill>
                  <pic:spPr>
                    <a:xfrm>
                      <a:off x="0" y="0"/>
                      <a:ext cx="5852160" cy="2889447"/>
                    </a:xfrm>
                    <a:prstGeom prst="rect"/>
                  </pic:spPr>
                </pic:pic>
              </a:graphicData>
            </a:graphic>
          </wp:inline>
        </w:drawing>
      </w:r>
    </w:p>
    <w:p>
      <w:pPr>
        <w:spacing w:before="0" w:after="100" w:line="240" w:lineRule="auto"/>
        <w:jc w:val="center"/>
      </w:pPr>
      <w:r>
        <w:rPr>
          <w:rFonts w:ascii="Arial" w:hAnsi="Arial" w:eastAsia="Noto Sans CJK SC"/>
          <w:b w:val="0"/>
          <w:i w:val="0"/>
          <w:color w:val="6B7280"/>
          <w:sz w:val="17"/>
        </w:rPr>
        <w:t>图2  各险种干预组与匹配对照组比较（*总体值可能为调整后估计）</w:t>
      </w:r>
    </w:p>
    <w:p>
      <w:r>
        <w:drawing>
          <wp:inline xmlns:a="http://schemas.openxmlformats.org/drawingml/2006/main" xmlns:pic="http://schemas.openxmlformats.org/drawingml/2006/picture">
            <wp:extent cx="5852160" cy="2642911"/>
            <wp:docPr id="3" name="Picture 3"/>
            <wp:cNvGraphicFramePr>
              <a:graphicFrameLocks noChangeAspect="1"/>
            </wp:cNvGraphicFramePr>
            <a:graphic>
              <a:graphicData uri="http://schemas.openxmlformats.org/drawingml/2006/picture">
                <pic:pic>
                  <pic:nvPicPr>
                    <pic:cNvPr id="0" name="rwe_savings.png"/>
                    <pic:cNvPicPr/>
                  </pic:nvPicPr>
                  <pic:blipFill>
                    <a:blip r:embed="rId13"/>
                    <a:stretch>
                      <a:fillRect/>
                    </a:stretch>
                  </pic:blipFill>
                  <pic:spPr>
                    <a:xfrm>
                      <a:off x="0" y="0"/>
                      <a:ext cx="5852160" cy="2642911"/>
                    </a:xfrm>
                    <a:prstGeom prst="rect"/>
                  </pic:spPr>
                </pic:pic>
              </a:graphicData>
            </a:graphic>
          </wp:inline>
        </w:drawing>
      </w:r>
    </w:p>
    <w:p>
      <w:pPr>
        <w:spacing w:before="0" w:after="100" w:line="240" w:lineRule="auto"/>
        <w:jc w:val="center"/>
      </w:pPr>
      <w:r>
        <w:rPr>
          <w:rFonts w:ascii="Arial" w:hAnsi="Arial" w:eastAsia="Noto Sans CJK SC"/>
          <w:b w:val="0"/>
          <w:i w:val="0"/>
          <w:color w:val="6B7280"/>
          <w:sz w:val="17"/>
        </w:rPr>
        <w:t>图3  系统估算归因节省构成（未经合同公式复算）</w:t>
      </w:r>
    </w:p>
    <w:p>
      <w:pPr>
        <w:spacing w:before="0" w:after="80" w:line="324" w:lineRule="auto"/>
      </w:pPr>
      <w:r>
        <w:rPr>
          <w:rFonts w:ascii="Arial" w:hAnsi="Arial" w:eastAsia="Noto Sans CJK SC"/>
          <w:b w:val="0"/>
          <w:i w:val="0"/>
          <w:color w:val="111827"/>
          <w:sz w:val="21"/>
        </w:rPr>
        <w:t>在总体两组率口径和分母可比的前提下，52.9%降至38.6%对应绝对下降14.3个百分点，相对下降约27.0%。2,840.2万元对应人均系统估算毛节省约3,286元/覆盖人。</w:t>
      </w:r>
    </w:p>
    <w:p>
      <w:pPr>
        <w:keepNext/>
        <w:pageBreakBefore w:val="0"/>
        <w:spacing w:before="240" w:after="140" w:line="252" w:lineRule="auto"/>
        <w:pBdr>
          <w:left w:val="single" w:sz="20" w:space="8" w:color="F59E0B"/>
        </w:pBdr>
      </w:pPr>
      <w:r>
        <w:rPr>
          <w:rFonts w:ascii="Arial" w:hAnsi="Arial" w:eastAsia="Noto Sans CJK SC"/>
          <w:b/>
          <w:i w:val="0"/>
          <w:color w:val="17365D"/>
          <w:sz w:val="32"/>
        </w:rPr>
        <w:t>6. 用于财务复核的推导值</w:t>
      </w:r>
    </w:p>
    <w:tbl>
      <w:tblPr>
        <w:tblW w:type="auto" w:w="0"/>
        <w:jc w:val="center"/>
        <w:tblLayout w:type="autofit"/>
        <w:tblLook w:firstColumn="1" w:firstRow="1" w:lastColumn="0" w:lastRow="0" w:noHBand="0" w:noVBand="1" w:val="04A0"/>
      </w:tblPr>
      <w:tblGrid>
        <w:gridCol w:w="9972"/>
      </w:tblGrid>
      <w:tr>
        <w:tc>
          <w:tcPr>
            <w:tcW w:type="dxa" w:w="9972"/>
            <w:shd w:fill="FFF7E6"/>
            <w:tcMar>
              <w:top w:w="130" w:type="dxa"/>
              <w:start w:w="160" w:type="dxa"/>
              <w:bottom w:w="130" w:type="dxa"/>
              <w:end w:w="160" w:type="dxa"/>
            </w:tcMar>
            <w:tcBorders>
              <w:top w:val="single" w:sz="4" w:color="FFF7E6"/>
              <w:left w:val="single" w:sz="18" w:color="F59E0B"/>
              <w:bottom w:val="single" w:sz="4" w:color="FFF7E6"/>
              <w:right w:val="single" w:sz="4" w:color="FFF7E6"/>
            </w:tcBorders>
          </w:tcPr>
          <w:p>
            <w:pPr>
              <w:spacing w:before="0" w:after="60" w:line="276" w:lineRule="auto"/>
            </w:pPr>
            <w:r>
              <w:rPr>
                <w:rFonts w:ascii="Arial" w:hAnsi="Arial" w:eastAsia="Noto Sans CJK SC"/>
                <w:b/>
                <w:i w:val="0"/>
                <w:color w:val="F59E0B"/>
                <w:sz w:val="21"/>
              </w:rPr>
              <w:t>推导前提</w:t>
            </w:r>
          </w:p>
          <w:p>
            <w:pPr>
              <w:spacing w:before="0" w:after="0" w:line="312" w:lineRule="auto"/>
            </w:pPr>
            <w:r>
              <w:rPr>
                <w:rFonts w:ascii="Arial" w:hAnsi="Arial" w:eastAsia="Noto Sans CJK SC"/>
                <w:b w:val="0"/>
                <w:i w:val="0"/>
                <w:color w:val="111827"/>
                <w:sz w:val="20"/>
              </w:rPr>
              <w:t>下表仅在“归因差值是绝对赔付发生率差、覆盖人数是独立被保人数”的假设下成立。它用于发现财务口径问题，不应直接作为最终结算依据。</w:t>
            </w:r>
          </w:p>
        </w:tc>
      </w:tr>
    </w:tbl>
    <w:p>
      <w:pPr>
        <w:spacing w:after="20"/>
      </w:pP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80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险种</w:t>
            </w:r>
          </w:p>
        </w:tc>
        <w:tc>
          <w:tcPr>
            <w:tcW w:type="dxa" w:w="144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相对下降</w:t>
            </w:r>
          </w:p>
        </w:tc>
        <w:tc>
          <w:tcPr>
            <w:tcW w:type="dxa" w:w="180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推导减少事件数</w:t>
            </w:r>
          </w:p>
        </w:tc>
        <w:tc>
          <w:tcPr>
            <w:tcW w:type="dxa" w:w="158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人均节省</w:t>
            </w:r>
          </w:p>
        </w:tc>
        <w:tc>
          <w:tcPr>
            <w:tcW w:type="dxa" w:w="230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隐含单次事件成本</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补充医疗险</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21.3%</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约539.8</w:t>
            </w:r>
          </w:p>
        </w:tc>
        <w:tc>
          <w:tcPr>
            <w:tcW w:type="dxa" w:w="158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约2,665元</w:t>
            </w:r>
          </w:p>
        </w:tc>
        <w:tc>
          <w:tcPr>
            <w:tcW w:type="dxa" w:w="23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约23,796元</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重疾险</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39.1%</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约412.2</w:t>
            </w:r>
          </w:p>
        </w:tc>
        <w:tc>
          <w:tcPr>
            <w:tcW w:type="dxa" w:w="158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约3,984元</w:t>
            </w:r>
          </w:p>
        </w:tc>
        <w:tc>
          <w:tcPr>
            <w:tcW w:type="dxa" w:w="23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约21,652元</w:t>
            </w:r>
          </w:p>
        </w:tc>
      </w:tr>
      <w:tr>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住院津贴</w:t>
            </w:r>
          </w:p>
        </w:tc>
        <w:tc>
          <w:tcPr>
            <w:tcW w:type="dxa" w:w="144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12.9%</w:t>
            </w:r>
          </w:p>
        </w:tc>
        <w:tc>
          <w:tcPr>
            <w:tcW w:type="dxa" w:w="180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约107.6</w:t>
            </w:r>
          </w:p>
        </w:tc>
        <w:tc>
          <w:tcPr>
            <w:tcW w:type="dxa" w:w="158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约4,192元</w:t>
            </w:r>
          </w:p>
        </w:tc>
        <w:tc>
          <w:tcPr>
            <w:tcW w:type="dxa" w:w="23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约61,649元</w:t>
            </w:r>
          </w:p>
        </w:tc>
      </w:tr>
    </w:tbl>
    <w:p>
      <w:pPr>
        <w:spacing w:after="40"/>
      </w:pPr>
    </w:p>
    <w:p>
      <w:pPr>
        <w:spacing w:before="0" w:after="80" w:line="324" w:lineRule="auto"/>
      </w:pPr>
      <w:r>
        <w:rPr>
          <w:rFonts w:ascii="Arial" w:hAnsi="Arial" w:eastAsia="Noto Sans CJK SC"/>
          <w:b w:val="0"/>
          <w:i w:val="0"/>
          <w:color w:val="111827"/>
          <w:sz w:val="21"/>
        </w:rPr>
        <w:t>“住院津贴”的隐含单次事件成本明显高于另外两个险种，可能是赔付单位、事件定义或节省公式不同，需要单独核对。</w:t>
      </w:r>
    </w:p>
    <w:p>
      <w:pPr>
        <w:keepNext/>
        <w:pageBreakBefore w:val="0"/>
        <w:spacing w:before="240" w:after="140" w:line="252" w:lineRule="auto"/>
        <w:pBdr>
          <w:left w:val="single" w:sz="20" w:space="8" w:color="F59E0B"/>
        </w:pBdr>
      </w:pPr>
      <w:r>
        <w:rPr>
          <w:rFonts w:ascii="Arial" w:hAnsi="Arial" w:eastAsia="Noto Sans CJK SC"/>
          <w:b/>
          <w:i w:val="0"/>
          <w:color w:val="17365D"/>
          <w:sz w:val="32"/>
        </w:rPr>
        <w:t>7. 数据一致性检查</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592"/>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检查项</w:t>
            </w:r>
          </w:p>
        </w:tc>
        <w:tc>
          <w:tcPr>
            <w:tcW w:type="dxa" w:w="410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复算结果</w:t>
            </w:r>
          </w:p>
        </w:tc>
        <w:tc>
          <w:tcPr>
            <w:tcW w:type="dxa" w:w="252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判断</w:t>
            </w:r>
          </w:p>
        </w:tc>
      </w:tr>
      <w:tr>
        <w:tc>
          <w:tcPr>
            <w:tcW w:type="dxa" w:w="25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分险种覆盖人数合计</w:t>
            </w:r>
          </w:p>
        </w:tc>
        <w:tc>
          <w:tcPr>
            <w:tcW w:type="dxa" w:w="41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4,820 + 2,240 + 1,582 = 8,642</w:t>
            </w:r>
          </w:p>
        </w:tc>
        <w:tc>
          <w:tcPr>
            <w:tcW w:type="dxa" w:w="252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与总覆盖人数一致</w:t>
            </w:r>
          </w:p>
        </w:tc>
      </w:tr>
      <w:tr>
        <w:tc>
          <w:tcPr>
            <w:tcW w:type="dxa" w:w="25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分险种节省金额合计</w:t>
            </w:r>
          </w:p>
        </w:tc>
        <w:tc>
          <w:tcPr>
            <w:tcW w:type="dxa" w:w="41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1,284.6 + 892.4 + 663.2 = 2,840.2万元</w:t>
            </w:r>
          </w:p>
        </w:tc>
        <w:tc>
          <w:tcPr>
            <w:tcW w:type="dxa" w:w="252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与总节省金额一致</w:t>
            </w:r>
          </w:p>
        </w:tc>
      </w:tr>
      <w:tr>
        <w:tc>
          <w:tcPr>
            <w:tcW w:type="dxa" w:w="25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按人数加权的干预组率</w:t>
            </w:r>
          </w:p>
        </w:tc>
        <w:tc>
          <w:tcPr>
            <w:tcW w:type="dxa" w:w="41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约38.8%</w:t>
            </w:r>
          </w:p>
        </w:tc>
        <w:tc>
          <w:tcPr>
            <w:tcW w:type="dxa" w:w="252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与总体38.6%相差0.2个百分点</w:t>
            </w:r>
          </w:p>
        </w:tc>
      </w:tr>
      <w:tr>
        <w:tc>
          <w:tcPr>
            <w:tcW w:type="dxa" w:w="25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按人数加权的对照组率</w:t>
            </w:r>
          </w:p>
        </w:tc>
        <w:tc>
          <w:tcPr>
            <w:tcW w:type="dxa" w:w="41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约51.1%</w:t>
            </w:r>
          </w:p>
        </w:tc>
        <w:tc>
          <w:tcPr>
            <w:tcW w:type="dxa" w:w="252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与总体52.9%相差1.8个百分点</w:t>
            </w:r>
          </w:p>
        </w:tc>
      </w:tr>
      <w:tr>
        <w:tc>
          <w:tcPr>
            <w:tcW w:type="dxa" w:w="25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按分险种加权的差值</w:t>
            </w:r>
          </w:p>
        </w:tc>
        <w:tc>
          <w:tcPr>
            <w:tcW w:type="dxa" w:w="410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约-12.3个百分点</w:t>
            </w:r>
          </w:p>
        </w:tc>
        <w:tc>
          <w:tcPr>
            <w:tcW w:type="dxa" w:w="252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与总体-14.3个百分点不一致</w:t>
            </w:r>
          </w:p>
        </w:tc>
      </w:tr>
    </w:tbl>
    <w:p>
      <w:pPr>
        <w:spacing w:after="40"/>
      </w:pPr>
    </w:p>
    <w:tbl>
      <w:tblPr>
        <w:tblW w:type="auto" w:w="0"/>
        <w:jc w:val="center"/>
        <w:tblLayout w:type="autofit"/>
        <w:tblLook w:firstColumn="1" w:firstRow="1" w:lastColumn="0" w:lastRow="0" w:noHBand="0" w:noVBand="1" w:val="04A0"/>
      </w:tblPr>
      <w:tblGrid>
        <w:gridCol w:w="9972"/>
      </w:tblGrid>
      <w:tr>
        <w:tc>
          <w:tcPr>
            <w:tcW w:type="dxa" w:w="9972"/>
            <w:shd w:fill="FEF2F2"/>
            <w:tcMar>
              <w:top w:w="130" w:type="dxa"/>
              <w:start w:w="160" w:type="dxa"/>
              <w:bottom w:w="130" w:type="dxa"/>
              <w:end w:w="160" w:type="dxa"/>
            </w:tcMar>
            <w:tcBorders>
              <w:top w:val="single" w:sz="4" w:color="FEF2F2"/>
              <w:left w:val="single" w:sz="18" w:color="DC2626"/>
              <w:bottom w:val="single" w:sz="4" w:color="FEF2F2"/>
              <w:right w:val="single" w:sz="4" w:color="FEF2F2"/>
            </w:tcBorders>
          </w:tcPr>
          <w:p>
            <w:pPr>
              <w:spacing w:before="0" w:after="60" w:line="276" w:lineRule="auto"/>
            </w:pPr>
            <w:r>
              <w:rPr>
                <w:rFonts w:ascii="Arial" w:hAnsi="Arial" w:eastAsia="Noto Sans CJK SC"/>
                <w:b/>
                <w:i w:val="0"/>
                <w:color w:val="DC2626"/>
                <w:sz w:val="21"/>
              </w:rPr>
              <w:t>需要解释的核心问题</w:t>
            </w:r>
          </w:p>
          <w:p>
            <w:pPr>
              <w:spacing w:before="0" w:after="0" w:line="312" w:lineRule="auto"/>
            </w:pPr>
            <w:r>
              <w:rPr>
                <w:rFonts w:ascii="Arial" w:hAnsi="Arial" w:eastAsia="Noto Sans CJK SC"/>
                <w:b w:val="0"/>
                <w:i w:val="0"/>
                <w:color w:val="111827"/>
                <w:sz w:val="20"/>
              </w:rPr>
              <w:t>总体值可能来自标准化、模型调整、不同分母或去重后的独立总体估计，因此差异不一定代表错误。但正式报告必须明确总体估计方法，不能一边把总体值称为“调整后结果”，一边又把它解释为分险种简单加权汇总。</w:t>
            </w:r>
          </w:p>
        </w:tc>
      </w:tr>
    </w:tbl>
    <w:p>
      <w:pPr>
        <w:spacing w:after="20"/>
      </w:pPr>
    </w:p>
    <w:p>
      <w:pPr>
        <w:keepNext/>
        <w:pageBreakBefore w:val="0"/>
        <w:spacing w:before="240" w:after="140" w:line="252" w:lineRule="auto"/>
        <w:pBdr>
          <w:left w:val="single" w:sz="20" w:space="8" w:color="F59E0B"/>
        </w:pBdr>
      </w:pPr>
      <w:r>
        <w:rPr>
          <w:rFonts w:ascii="Arial" w:hAnsi="Arial" w:eastAsia="Noto Sans CJK SC"/>
          <w:b/>
          <w:i w:val="0"/>
          <w:color w:val="17365D"/>
          <w:sz w:val="32"/>
        </w:rPr>
        <w:t>8. 合规与监管表述建议</w:t>
      </w:r>
    </w:p>
    <w:p>
      <w:pPr>
        <w:spacing w:before="0" w:after="80" w:line="324" w:lineRule="auto"/>
      </w:pPr>
      <w:r>
        <w:rPr>
          <w:rFonts w:ascii="Arial" w:hAnsi="Arial" w:eastAsia="Noto Sans CJK SC"/>
          <w:b w:val="0"/>
          <w:i w:val="0"/>
          <w:color w:val="111827"/>
          <w:sz w:val="21"/>
        </w:rPr>
        <w:t>界面中的“符合NMPA/FDA RWE标准”和“提交NMPA审查”在MVP阶段建议改为“完成内部RWE质量检查”“达到内部提交准备门槛”或“参考适用的RWD/RWE指导原则进行设计”。是否适合监管使用，需要结合具体产品、预期用途、研究方案、数据适用性和监管沟通确定。</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不要使用“通过RWE认证”或“监管合规绪结”等无法由单一界面状态证明的措辞。</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报告应保留协议版本、统计分析计划、数据质量评价、代码版本和审计记录。</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PSM仅是控制已观测混杂的方法之一，不等同于随机试验或自动获得监管认可。</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保险结算报告与药械监管RWE的预期用途不同，不应混用同一“合规标准”标签。</w:t>
      </w:r>
    </w:p>
    <w:p>
      <w:pPr>
        <w:keepNext/>
        <w:pageBreakBefore w:val="0"/>
        <w:spacing w:before="240" w:after="140" w:line="252" w:lineRule="auto"/>
        <w:pBdr>
          <w:left w:val="single" w:sz="20" w:space="8" w:color="F59E0B"/>
        </w:pBdr>
      </w:pPr>
      <w:r>
        <w:rPr>
          <w:rFonts w:ascii="Arial" w:hAnsi="Arial" w:eastAsia="Noto Sans CJK SC"/>
          <w:b/>
          <w:i w:val="0"/>
          <w:color w:val="17365D"/>
          <w:sz w:val="32"/>
        </w:rPr>
        <w:t>9. 质量评价</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评价维度</w:t>
            </w:r>
          </w:p>
        </w:tc>
        <w:tc>
          <w:tcPr>
            <w:tcW w:type="dxa" w:w="194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当前判断</w:t>
            </w:r>
          </w:p>
        </w:tc>
        <w:tc>
          <w:tcPr>
            <w:tcW w:type="dxa" w:w="5328"/>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7"/>
              </w:rPr>
              <w:t>主要原因</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覆盖规模</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较好</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界面显示覆盖8,642人</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分险种结果</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初步可用</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三个险种均提供组别率、差值和节省金额</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总体统计一致性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待核对</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总体率无法由分险种按人数简单加权复现</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效应估计完整性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不通过</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缺少95%CI、P值、匹配质量和敏感性分析</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财务复算</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不通过</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缺少赔付成本、保费、未决、冲正及干预成本</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数据适用性</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待评估</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未提供相关性、完整性、准确性和数据治理结果</w:t>
            </w:r>
          </w:p>
        </w:tc>
      </w:tr>
      <w:tr>
        <w:tc>
          <w:tcPr>
            <w:tcW w:type="dxa" w:w="208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7"/>
              </w:rPr>
              <w:t>外部监管准备</w:t>
            </w:r>
          </w:p>
        </w:tc>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尚未就绪</w:t>
            </w:r>
          </w:p>
        </w:tc>
        <w:tc>
          <w:tcPr>
            <w:tcW w:type="dxa" w:w="5328"/>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7"/>
              </w:rPr>
              <w:t>当前仅为界面汇总，缺少完整资料链</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10. 局限性</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无法从截图验证数据是否来自真实保单和已支付理赔。</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未明确赔付率分母，无法判断是赔付发生率还是赔付金额率。</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未区分毛节省和净收益，也未纳入干预、设备和运营成本。</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可能存在理赔延迟、未决、拒赔和冲正。</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PSM不能消除未测量混杂。</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总体与分险种汇总口径存在待解释差异。</w:t>
      </w:r>
    </w:p>
    <w:p>
      <w:pPr>
        <w:spacing w:before="0" w:after="40" w:line="300" w:lineRule="auto"/>
        <w:ind w:left="312" w:hanging="159"/>
      </w:pPr>
      <w:r>
        <w:rPr>
          <w:rFonts w:ascii="Arial" w:hAnsi="Arial" w:eastAsia="Noto Sans CJK SC"/>
          <w:b/>
          <w:i w:val="0"/>
          <w:color w:val="2563EB"/>
          <w:sz w:val="21"/>
        </w:rPr>
        <w:t xml:space="preserve">• </w:t>
      </w:r>
      <w:r>
        <w:rPr>
          <w:rFonts w:ascii="Arial" w:hAnsi="Arial" w:eastAsia="Noto Sans CJK SC"/>
          <w:b w:val="0"/>
          <w:i w:val="0"/>
          <w:color w:val="111827"/>
          <w:sz w:val="21"/>
        </w:rPr>
        <w:t>“3/5达到提交标准”目前只能视为内部规则输出。</w:t>
      </w:r>
    </w:p>
    <w:p>
      <w:pPr>
        <w:keepNext/>
        <w:pageBreakBefore w:val="0"/>
        <w:spacing w:before="240" w:after="140" w:line="252" w:lineRule="auto"/>
        <w:pBdr>
          <w:left w:val="single" w:sz="20" w:space="8" w:color="F59E0B"/>
        </w:pBdr>
      </w:pPr>
      <w:r>
        <w:rPr>
          <w:rFonts w:ascii="Arial" w:hAnsi="Arial" w:eastAsia="Noto Sans CJK SC"/>
          <w:b/>
          <w:i w:val="0"/>
          <w:color w:val="17365D"/>
          <w:sz w:val="32"/>
        </w:rPr>
        <w:t>11. 草案结论</w:t>
      </w:r>
    </w:p>
    <w:p>
      <w:pPr>
        <w:spacing w:before="0" w:after="80" w:line="324" w:lineRule="auto"/>
      </w:pPr>
      <w:r>
        <w:rPr>
          <w:rFonts w:ascii="Arial" w:hAnsi="Arial" w:eastAsia="Noto Sans CJK SC"/>
          <w:b w:val="0"/>
          <w:i w:val="0"/>
          <w:color w:val="111827"/>
          <w:sz w:val="21"/>
        </w:rPr>
        <w:t>界面结果显示，8,642名覆盖被保人的干预组总体赔付率为38.6%，匹配对照组为52.9%，系统给出-14.3个百分点的归因差值和2,840.2万元毛节省估算。三个险种的覆盖人数与节省金额可以加总复现总体规模和总金额，但总体赔付率不能由分险种结果简单加权复现，因此在正式报告和结算前必须解释总体估计方法并完成源数据复算。</w:t>
      </w:r>
    </w:p>
    <w:p>
      <w:pPr>
        <w:spacing w:before="0" w:after="80" w:line="324" w:lineRule="auto"/>
      </w:pPr>
      <w:r>
        <w:rPr>
          <w:rFonts w:ascii="Arial" w:hAnsi="Arial" w:eastAsia="Noto Sans CJK SC"/>
          <w:b w:val="0"/>
          <w:i w:val="0"/>
          <w:color w:val="111827"/>
          <w:sz w:val="21"/>
        </w:rPr>
        <w:t>当前结果适合作为保险健康管理中后台MVP的展示数据和内部评审材料。只有在数据来源、授权、队列快照、PSM明细、统计置信区间、财务公式和审批链完整后，才适合作为正式RWE报告或结算证据包的组成部分。</w:t>
      </w:r>
    </w:p>
    <w:p>
      <w:r>
        <w:br w:type="page"/>
      </w:r>
    </w:p>
    <w:p>
      <w:pPr>
        <w:keepNext/>
        <w:pageBreakBefore w:val="0"/>
        <w:spacing w:before="240" w:after="140" w:line="252" w:lineRule="auto"/>
        <w:pBdr>
          <w:left w:val="single" w:sz="20" w:space="8" w:color="F59E0B"/>
        </w:pBdr>
      </w:pPr>
      <w:r>
        <w:rPr>
          <w:rFonts w:ascii="Arial" w:hAnsi="Arial" w:eastAsia="Noto Sans CJK SC"/>
          <w:b/>
          <w:i w:val="0"/>
          <w:color w:val="17365D"/>
          <w:sz w:val="32"/>
        </w:rPr>
        <w:t>附录A：外部发布前联合签署清单</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4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6"/>
              </w:rPr>
              <w:t>责任方</w:t>
            </w:r>
          </w:p>
        </w:tc>
        <w:tc>
          <w:tcPr>
            <w:tcW w:type="dxa" w:w="6192"/>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6"/>
              </w:rPr>
              <w:t>必须确认的内容</w:t>
            </w:r>
          </w:p>
        </w:tc>
        <w:tc>
          <w:tcPr>
            <w:tcW w:type="dxa" w:w="1080"/>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6"/>
              </w:rPr>
              <w:t>状态</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数据负责人</w:t>
            </w:r>
          </w:p>
        </w:tc>
        <w:tc>
          <w:tcPr>
            <w:tcW w:type="dxa" w:w="61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保单、理赔、授权、干预数据来源和批次可追溯</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待完成</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统计负责人</w:t>
            </w:r>
          </w:p>
        </w:tc>
        <w:tc>
          <w:tcPr>
            <w:tcW w:type="dxa" w:w="61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方案、协变量、匹配、平衡、效应量、95%CI和敏感性分析</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待完成</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精算/财务负责人</w:t>
            </w:r>
          </w:p>
        </w:tc>
        <w:tc>
          <w:tcPr>
            <w:tcW w:type="dxa" w:w="61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赔付口径、成本单价、毛节省、净收益和合同公式</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待完成</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医学负责人</w:t>
            </w:r>
          </w:p>
        </w:tc>
        <w:tc>
          <w:tcPr>
            <w:tcW w:type="dxa" w:w="61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结局临床意义、干预定义和安全性解释</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待完成</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合规/法务负责人</w:t>
            </w:r>
          </w:p>
        </w:tc>
        <w:tc>
          <w:tcPr>
            <w:tcW w:type="dxa" w:w="61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数据授权、隐私、伦理、对外表述和用途边界</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待完成</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审批负责人</w:t>
            </w:r>
          </w:p>
        </w:tc>
        <w:tc>
          <w:tcPr>
            <w:tcW w:type="dxa" w:w="619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经办审批分离、报告锁定、证据哈希和审计留痕</w:t>
            </w:r>
          </w:p>
        </w:tc>
        <w:tc>
          <w:tcPr>
            <w:tcW w:type="dxa" w:w="1080"/>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待完成</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附录B：正式版最低输出字段</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44"/>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6"/>
              </w:rPr>
              <w:t>模块</w:t>
            </w:r>
          </w:p>
        </w:tc>
        <w:tc>
          <w:tcPr>
            <w:tcW w:type="dxa" w:w="7272"/>
            <w:shd w:fill="EEF4FF"/>
            <w:tcMar>
              <w:top w:w="80" w:type="dxa"/>
              <w:start w:w="90" w:type="dxa"/>
              <w:bottom w:w="80" w:type="dxa"/>
              <w:end w:w="90" w:type="dxa"/>
            </w:tcMar>
            <w:vAlign w:val="center"/>
            <w:tcBorders>
              <w:top w:val="single" w:sz="4" w:color="D9E2F2"/>
              <w:left w:val="single" w:sz="4" w:color="D9E2F2"/>
              <w:bottom w:val="single" w:sz="6" w:color="D9E2F2"/>
              <w:right w:val="single" w:sz="4" w:color="D9E2F2"/>
            </w:tcBorders>
          </w:tcPr>
          <w:p>
            <w:pPr>
              <w:spacing w:before="0" w:after="0" w:line="252" w:lineRule="auto"/>
              <w:jc w:val="center"/>
            </w:pPr>
            <w:r>
              <w:rPr>
                <w:rFonts w:ascii="Arial" w:hAnsi="Arial" w:eastAsia="Noto Sans CJK SC"/>
                <w:b/>
                <w:i w:val="0"/>
                <w:color w:val="17365D"/>
                <w:sz w:val="16"/>
              </w:rPr>
              <w:t>必须输出</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研究方案</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研究问题、索引日期、基线期、随访期、纳排标准、主要/次要结局</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数据</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源系统、导入批次、数据截止日、数据质量结果、授权状态</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PSM</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倾向评分模型、协变量、缺失处理、卡钳、放回、共同支持区间、匹配清单</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平衡</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匹配前后每项SMD、Love plot、倾向评分分布</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效应</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组别结局、ATT、95%CI、P值、敏感性分析</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财务</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成本单价来源、毛节省、干预成本、净收益、公式版本</w:t>
            </w:r>
          </w:p>
        </w:tc>
      </w:tr>
      <w:tr>
        <w:tc>
          <w:tcPr>
            <w:tcW w:type="dxa" w:w="1944"/>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left"/>
            </w:pPr>
            <w:r>
              <w:rPr>
                <w:rFonts w:ascii="Arial" w:hAnsi="Arial" w:eastAsia="Noto Sans CJK SC"/>
                <w:b/>
                <w:i w:val="0"/>
                <w:color w:val="111827"/>
                <w:sz w:val="16"/>
              </w:rPr>
              <w:t>可追溯</w:t>
            </w:r>
          </w:p>
        </w:tc>
        <w:tc>
          <w:tcPr>
            <w:tcW w:type="dxa" w:w="7272"/>
            <w:tcMar>
              <w:top w:w="80" w:type="dxa"/>
              <w:start w:w="90" w:type="dxa"/>
              <w:bottom w:w="80" w:type="dxa"/>
              <w:end w:w="90" w:type="dxa"/>
            </w:tcMar>
            <w:vAlign w:val="center"/>
            <w:tcBorders>
              <w:top w:val="single" w:sz="4" w:color="D9E2F2"/>
              <w:left w:val="single" w:sz="4" w:color="D9E2F2"/>
              <w:bottom w:val="single" w:sz="4" w:color="D9E2F2"/>
              <w:right w:val="single" w:sz="4" w:color="D9E2F2"/>
            </w:tcBorders>
          </w:tcPr>
          <w:p>
            <w:pPr>
              <w:spacing w:before="0" w:after="0" w:line="264" w:lineRule="auto"/>
              <w:jc w:val="center"/>
            </w:pPr>
            <w:r>
              <w:rPr>
                <w:rFonts w:ascii="Arial" w:hAnsi="Arial" w:eastAsia="Noto Sans CJK SC"/>
                <w:b w:val="0"/>
                <w:i w:val="0"/>
                <w:color w:val="111827"/>
                <w:sz w:val="16"/>
              </w:rPr>
              <w:t>协议版本、队列快照、代码SHA、模型版本、随机种子、审批日志</w:t>
            </w:r>
          </w:p>
        </w:tc>
      </w:tr>
    </w:tbl>
    <w:p>
      <w:pPr>
        <w:spacing w:after="40"/>
      </w:pPr>
    </w:p>
    <w:p>
      <w:pPr>
        <w:keepNext/>
        <w:pageBreakBefore w:val="0"/>
        <w:spacing w:before="240" w:after="140" w:line="252" w:lineRule="auto"/>
        <w:pBdr>
          <w:left w:val="single" w:sz="20" w:space="8" w:color="F59E0B"/>
        </w:pBdr>
      </w:pPr>
      <w:r>
        <w:rPr>
          <w:rFonts w:ascii="Arial" w:hAnsi="Arial" w:eastAsia="Noto Sans CJK SC"/>
          <w:b/>
          <w:i w:val="0"/>
          <w:color w:val="17365D"/>
          <w:sz w:val="32"/>
        </w:rPr>
        <w:t>附录C：参考框架</w:t>
      </w:r>
    </w:p>
    <w:p>
      <w:pPr>
        <w:spacing w:before="0" w:after="20" w:line="269" w:lineRule="auto"/>
        <w:ind w:left="369" w:hanging="255"/>
      </w:pPr>
      <w:r>
        <w:rPr>
          <w:rFonts w:ascii="Arial" w:hAnsi="Arial" w:eastAsia="Noto Sans CJK SC"/>
          <w:b/>
          <w:i w:val="0"/>
          <w:color w:val="17365D"/>
          <w:sz w:val="18"/>
        </w:rPr>
        <w:t xml:space="preserve">1. </w:t>
      </w:r>
      <w:r>
        <w:rPr>
          <w:rFonts w:ascii="Arial" w:hAnsi="Arial" w:eastAsia="Noto Sans CJK SC"/>
          <w:b w:val="0"/>
          <w:i w:val="0"/>
          <w:color w:val="111827"/>
          <w:sz w:val="18"/>
        </w:rPr>
        <w:t>国家药品监督管理局/药品审评中心：《真实世界证据支持药物研发与审评的指导原则（试行）》；《用于产生真实世界证据的真实世界数据指导原则（试行）》。</w:t>
      </w:r>
    </w:p>
    <w:p>
      <w:pPr>
        <w:spacing w:before="0" w:after="20" w:line="269" w:lineRule="auto"/>
        <w:ind w:left="369" w:hanging="255"/>
      </w:pPr>
      <w:r>
        <w:rPr>
          <w:rFonts w:ascii="Arial" w:hAnsi="Arial" w:eastAsia="Noto Sans CJK SC"/>
          <w:b/>
          <w:i w:val="0"/>
          <w:color w:val="17365D"/>
          <w:sz w:val="18"/>
        </w:rPr>
        <w:t xml:space="preserve">2. </w:t>
      </w:r>
      <w:r>
        <w:rPr>
          <w:rFonts w:ascii="Arial" w:hAnsi="Arial" w:eastAsia="Noto Sans CJK SC"/>
          <w:b w:val="0"/>
          <w:i w:val="0"/>
          <w:color w:val="111827"/>
          <w:sz w:val="18"/>
        </w:rPr>
        <w:t>U.S. FDA: Real-World Data: Assessing Electronic Health Records and Medical Claims Data to Support Regulatory Decision-Making for Drug and Biological Products (Final Guidance, July 2024).</w:t>
      </w:r>
    </w:p>
    <w:p>
      <w:pPr>
        <w:spacing w:before="0" w:after="20" w:line="269" w:lineRule="auto"/>
        <w:ind w:left="369" w:hanging="255"/>
      </w:pPr>
      <w:r>
        <w:rPr>
          <w:rFonts w:ascii="Arial" w:hAnsi="Arial" w:eastAsia="Noto Sans CJK SC"/>
          <w:b/>
          <w:i w:val="0"/>
          <w:color w:val="17365D"/>
          <w:sz w:val="18"/>
        </w:rPr>
        <w:t xml:space="preserve">3. </w:t>
      </w:r>
      <w:r>
        <w:rPr>
          <w:rFonts w:ascii="Arial" w:hAnsi="Arial" w:eastAsia="Noto Sans CJK SC"/>
          <w:b w:val="0"/>
          <w:i w:val="0"/>
          <w:color w:val="111827"/>
          <w:sz w:val="18"/>
        </w:rPr>
        <w:t>U.S. FDA: Considerations for the Use of Real-World Data and Real-World Evidence to Support Regulatory Decision-Making for Drug and Biological Products (Final Guidance, August 2023).</w:t>
      </w:r>
    </w:p>
    <w:p>
      <w:pPr>
        <w:spacing w:before="0" w:after="20" w:line="269" w:lineRule="auto"/>
        <w:ind w:left="369" w:hanging="255"/>
      </w:pPr>
      <w:r>
        <w:rPr>
          <w:rFonts w:ascii="Arial" w:hAnsi="Arial" w:eastAsia="Noto Sans CJK SC"/>
          <w:b/>
          <w:i w:val="0"/>
          <w:color w:val="17365D"/>
          <w:sz w:val="18"/>
        </w:rPr>
        <w:t xml:space="preserve">4. </w:t>
      </w:r>
      <w:r>
        <w:rPr>
          <w:rFonts w:ascii="Arial" w:hAnsi="Arial" w:eastAsia="Noto Sans CJK SC"/>
          <w:b w:val="0"/>
          <w:i w:val="0"/>
          <w:color w:val="111827"/>
          <w:sz w:val="18"/>
        </w:rPr>
        <w:t>U.S. FDA: Data Standards for Drug and Biological Product Submissions Containing Real-World Data (Final Guidance, December 2023).</w:t>
      </w:r>
    </w:p>
    <w:sectPr w:rsidR="00FC693F" w:rsidRPr="0006063C" w:rsidSect="00034616">
      <w:headerReference w:type="default" r:id="rId9"/>
      <w:footerReference w:type="default" r:id="rId10"/>
      <w:pgSz w:w="12240" w:h="15840"/>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SC"/>
        <w:b w:val="0"/>
        <w:i w:val="0"/>
        <w:color w:val="6B7280"/>
        <w:sz w:val="16"/>
      </w:rPr>
      <w:t xml:space="preserve">ReHealth Core | PSM &amp; RWE Draft V0.1 | </w:t>
    </w:r>
    <w:r>
      <w:rPr>
        <w:rFonts w:ascii="Arial" w:hAnsi="Arial" w:eastAsia="Noto Sans CJK SC"/>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Arial" w:hAnsi="Arial" w:eastAsia="Noto Sans CJK SC"/>
        <w:b/>
        <w:i w:val="0"/>
        <w:color w:val="DC2626"/>
        <w:sz w:val="16"/>
      </w:rPr>
      <w:t>DRAFT  ·  仅供内部评审  ·  非监管提交/非正式结算文件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