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zh-CN"/>
        </w:rPr>
      </w:pPr>
      <w:r>
        <w:rPr>
          <w:lang w:val="zh-CN"/>
        </w:rPr>
        <w:t>自定义三个注解</w:t>
      </w:r>
      <w:r>
        <w:rPr>
          <w:rFonts w:hint="eastAsia"/>
          <w:lang w:val="zh-CN"/>
        </w:rPr>
        <w:t>：@MyTest，@MyBefore，@MyAfter，分别模拟JUnit中的@Test，@Before，@After三个注解的作用，并测试使用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定义三个注解：@MyTest，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@MyBefore，@MyAfter，无需任何属性，要求三个注解均只能用在方法上，而且作用域范围在运行时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2:</w:t>
      </w:r>
      <w:bookmarkStart w:id="0" w:name="_GoBack"/>
      <w:bookmarkEnd w:id="0"/>
      <w:r>
        <w:rPr>
          <w:rFonts w:hint="eastAsia"/>
          <w:lang w:val="zh-CN"/>
        </w:rPr>
        <w:t>定义一个注解解析类ParseMyAnno，并定义方法parse()，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方法中：反射解析注解，先运行@MyBefore的方法，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然后运行@MyTest的方法，最后运行@MyAfter的方法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81CA1"/>
    <w:rsid w:val="17756479"/>
    <w:rsid w:val="41737A86"/>
    <w:rsid w:val="51BB5B38"/>
    <w:rsid w:val="6D0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