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1_页面部分实现一个效果如下的表单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37465</wp:posOffset>
            </wp:positionV>
            <wp:extent cx="3647440" cy="2752090"/>
            <wp:effectExtent l="0" t="0" r="1016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2_在ServletDemo02中接收表单数据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3_将表单数据封装在stu对象上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4_调用业务层将stu携带的数据保存到DB中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5_向客户端响应录入信息成功,响应可以可以跳转到查看全部学生信息的链接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效果如下: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49530</wp:posOffset>
            </wp:positionV>
            <wp:extent cx="2609215" cy="34290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6_实现service层代码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7_实现DAO层代码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2018-03-20T09:29:54Z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