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查看</w:t>
      </w:r>
      <w:r>
        <w:rPr>
          <w:rFonts w:hint="eastAsia"/>
          <w:lang w:val="en-US" w:eastAsia="zh-CN"/>
        </w:rPr>
        <w:t>get方式与post方式表单数据提交时区别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color w:val="auto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分别准备get 方式和 post 方式表单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drawing>
          <wp:inline distT="0" distB="0" distL="114300" distR="114300">
            <wp:extent cx="2019300" cy="2505075"/>
            <wp:effectExtent l="0" t="0" r="0" b="952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3790315"/>
            <wp:effectExtent l="0" t="0" r="635" b="635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在get表单中录入数据，抓包查看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57070"/>
            <wp:effectExtent l="0" t="0" r="8890" b="508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在post表单中录入数据，抓包查看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91030"/>
            <wp:effectExtent l="0" t="0" r="6985" b="1397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6EEF"/>
    <w:multiLevelType w:val="singleLevel"/>
    <w:tmpl w:val="59156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D66DB"/>
    <w:rsid w:val="2FAC550A"/>
    <w:rsid w:val="36F7565E"/>
    <w:rsid w:val="67417FA9"/>
    <w:rsid w:val="7B4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2018-03-20T08:51:21Z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