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irstheader"/>
    <w:p>
      <w:pPr>
        <w:pStyle w:val="Heading1"/>
      </w:pPr>
      <w:r>
        <w:t xml:space="preserve">Using apa7 and flextable to Recreate Tables from Recent APA Journal Articles</w:t>
      </w:r>
    </w:p>
    <w:bookmarkStart w:id="21" w:name="X74666874e63048346a302c17a5f3782ed7ae851"/>
    <w:p>
      <w:pPr>
        <w:pStyle w:val="Heading2"/>
      </w:pPr>
      <w:r>
        <w:t xml:space="preserve">Recreating Table 5 from</w:t>
      </w:r>
      <w:r>
        <w:t xml:space="preserve"> </w:t>
      </w:r>
      <w:r>
        <w:t xml:space="preserve">Wilmot et al. (</w:t>
      </w:r>
      <w:hyperlink w:anchor="ref-wilmotMappingDomainsLife2025">
        <w:r>
          <w:rPr>
            <w:rStyle w:val="Hyperlink"/>
          </w:rPr>
          <w:t xml:space="preserve">2025</w:t>
        </w:r>
      </w:hyperlink>
      <w:r>
        <w:t xml:space="preserve">)</w:t>
      </w:r>
    </w:p>
    <w:bookmarkStart w:id="20" w:name="tbl-wilmot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Summary of Results of Content Validation for Life Success Categories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952"/>
        <w:gridCol w:w="1296"/>
        <w:gridCol w:w="1296"/>
        <w:gridCol w:w="1296"/>
        <w:gridCol w:w="72"/>
        <w:gridCol w:w="1296"/>
        <w:gridCol w:w="1296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 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Individual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Psychological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Physical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Longevity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5
        <w:tc>
          <w:tcPr>
            <w:gridSpan w:val="7"/>
            <w:tcBorders>
              <w:bottom w:val="none" w:sz="0" w:space="0" w:color="000000"/>
              <w:top w:val="single" w:sz="8" w:space="0" w:color="33333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Interpersonal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Interpersonal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Societal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Family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formation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 4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body12
        <w:tc>
          <w:tcPr>
            <w:gridSpan w:val="7"/>
            <w:tcBorders>
              <w:bottom w:val="none" w:sz="0" w:space="0" w:color="000000"/>
              <w:top w:val="single" w:sz="8" w:space="0" w:color="33333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Institutional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Institutional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adjustment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Task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Work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Performance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Extrinsic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rewards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4" w:before="64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336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sorted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each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life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quantify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among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computed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two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indices: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proportion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substantive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substantive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validity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coefficient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ranges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attained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presence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ranges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−1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occurs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misclassify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item,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whereas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occurs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unanimously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classification.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used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benchmarks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Colquitt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al. (2019),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which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that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reflect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stronger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agreement;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italicized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indicate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weaker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.40–.71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sv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.05–.50).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40" w:line="336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 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vertAlign w:val="subscript"/>
                <w:sz w:val="24"/>
                <w:szCs w:val="24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judged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multiple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categories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subsequently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submitted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subject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matter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review.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agreement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justification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scholarly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literature,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ultimately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ceded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fitting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life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success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category.</w:t>
            </w:r>
          </w:p>
        </w:tc>
      </w:tr>
    </w:tbl>
    <w:bookmarkEnd w:id="20"/>
    <w:p>
      <w:pPr>
        <w:pStyle w:val="FigureNote"/>
      </w:pPr>
      <w:r>
        <w:rPr>
          <w:i/>
          <w:iCs/>
        </w:rPr>
        <w:t xml:space="preserve">Note</w:t>
      </w:r>
      <w:r>
        <w:t xml:space="preserve">.</w:t>
      </w:r>
      <w:r>
        <w:t xml:space="preserve"> </w:t>
      </w:r>
      <w:r>
        <w:rPr>
          <w:i/>
          <w:iCs/>
        </w:rPr>
        <w:t xml:space="preserve">N</w:t>
      </w:r>
      <w:r>
        <w:rPr>
          <w:i/>
          <w:iCs/>
          <w:vertAlign w:val="subscript"/>
        </w:rPr>
        <w:t xml:space="preserve">v</w:t>
      </w:r>
      <w:r>
        <w:t xml:space="preserve"> </w:t>
      </w:r>
      <w:r>
        <w:t xml:space="preserve">= number of variables sorted into each life success category. To quantify agreement among raters, we computed two indices:</w:t>
      </w:r>
      <w:r>
        <w:t xml:space="preserve"> </w:t>
      </w:r>
      <w:r>
        <w:rPr>
          <w:i/>
          <w:iCs/>
        </w:rPr>
        <w:t xml:space="preserve">proportion of substantive agreement</w:t>
      </w:r>
      <w:r>
        <w:t xml:space="preserve"> </w:t>
      </w:r>
      <w:r>
        <w:t xml:space="preserve">(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) and</w:t>
      </w:r>
      <w:r>
        <w:t xml:space="preserve"> </w:t>
      </w:r>
      <w:r>
        <w:rPr>
          <w:i/>
          <w:iCs/>
        </w:rPr>
        <w:t xml:space="preserve">substantive validity coefficient</w:t>
      </w:r>
      <w:r>
        <w:t xml:space="preserve"> </w:t>
      </w:r>
      <w:r>
        <w:t xml:space="preserve">(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);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ranges from 0 to 1, with 1 attained in the presence of unanimous agreement;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ranges from −1 to 1; the minimum occurs when all raters unanimously misclassify an item, whereas the maximum occurs when all raters unanimously agree on its classification. In evaluating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values, we used benchmarks of Colquitt et al. (2019), which indicate that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≥ .72 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≥ .51 reflect moderate or stronger agreement; italicized values indicate weaker agreement (</w:t>
      </w:r>
      <w:r>
        <w:rPr>
          <w:i/>
          <w:iCs/>
        </w:rPr>
        <w:t xml:space="preserve">p</w:t>
      </w:r>
      <w:r>
        <w:rPr>
          <w:i/>
          <w:iCs/>
          <w:vertAlign w:val="subscript"/>
        </w:rPr>
        <w:t xml:space="preserve">sa</w:t>
      </w:r>
      <w:r>
        <w:t xml:space="preserve"> </w:t>
      </w:r>
      <w:r>
        <w:t xml:space="preserve">= .40–.71 and</w:t>
      </w:r>
      <w:r>
        <w:t xml:space="preserve"> </w:t>
      </w:r>
      <w:r>
        <w:rPr>
          <w:i/>
          <w:iCs/>
        </w:rPr>
        <w:t xml:space="preserve">c</w:t>
      </w:r>
      <w:r>
        <w:rPr>
          <w:i/>
          <w:iCs/>
          <w:vertAlign w:val="subscript"/>
        </w:rPr>
        <w:t xml:space="preserve">sv</w:t>
      </w:r>
      <w:r>
        <w:t xml:space="preserve"> </w:t>
      </w:r>
      <w:r>
        <w:t xml:space="preserve">= .05–.50).</w:t>
      </w:r>
    </w:p>
    <w:p>
      <w:pPr>
        <w:pStyle w:val="FigureNote"/>
      </w:pPr>
      <w:r>
        <w:rPr>
          <w:vertAlign w:val="superscript"/>
        </w:rPr>
        <w:t xml:space="preserve">a </w:t>
      </w:r>
      <w:r>
        <w:rPr>
          <w:i/>
          <w:iCs/>
        </w:rPr>
        <w:t xml:space="preserve">N</w:t>
      </w:r>
      <w:r>
        <w:rPr>
          <w:i/>
          <w:iCs/>
          <w:vertAlign w:val="subscript"/>
        </w:rPr>
        <w:t xml:space="preserve">v</w:t>
      </w:r>
      <w:r>
        <w:t xml:space="preserve"> </w:t>
      </w:r>
      <w:r>
        <w:t xml:space="preserve">= 14 variables were judged as fitting into multiple categories and were subsequently submitted to subject matter expert review. Based on 80% agreement and justification from the scholarly literature, variables were ultimately ceded to their best fitting life success category.</w:t>
      </w:r>
    </w:p>
    <w:p>
      <w:pPr>
        <w:pStyle w:val="BodyText"/>
      </w:pPr>
      <w:r>
        <w:t xml:space="preserve">Fabiano, G. A., Schatz, N. K., Merrill, B. M., Piscitello, J., Hayes, T. B., Jusko, M., Gnagy, E. M., Greiner, A. R., Tower, D., Boeckel, A., Gallo, R., Lupas, K., Gordon, C., Ramos, M., Sikov, J., Caron, S., &amp; Pelham, W. E. (2025). A randomized, controlled trial to evaluate the efficacy of a daily report card intervention to enhance the efficacy of individualized education programs for children with attention-deficit/hyperactivity disorder.</w:t>
      </w:r>
      <w:r>
        <w:t xml:space="preserve"> </w:t>
      </w:r>
      <w:r>
        <w:rPr>
          <w:i/>
          <w:iCs/>
        </w:rPr>
        <w:t xml:space="preserve">Journal of Consulting and Clinical Psychology, 93</w:t>
      </w:r>
      <w:r>
        <w:t xml:space="preserve">(7), 484–499. https://doi.org/10.1037/ccp0000959</w:t>
      </w:r>
    </w:p>
    <w:bookmarkEnd w:id="21"/>
    <w:bookmarkStart w:id="22" w:name="X0d66cca939f3b13428fbc687613d4dc6e0b9057"/>
    <w:p>
      <w:pPr>
        <w:pStyle w:val="Heading2"/>
      </w:pPr>
      <w:r>
        <w:t xml:space="preserve">Recreating Table from</w:t>
      </w:r>
      <w:r>
        <w:t xml:space="preserve"> </w:t>
      </w:r>
      <w:r>
        <w:t xml:space="preserve">Fabiano et al. (</w:t>
      </w:r>
      <w:hyperlink w:anchor="ref-fabianoRandomizedControlledTrial2025">
        <w:r>
          <w:rPr>
            <w:rStyle w:val="Hyperlink"/>
          </w:rPr>
          <w:t xml:space="preserve">2025</w:t>
        </w:r>
      </w:hyperlink>
      <w: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  <w:gridCol w:w="72"/>
        <w:gridCol w:w="536"/>
        <w:gridCol w:w="445"/>
        <w:gridCol w:w="536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 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violation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 Moderator: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IEP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 1.75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 .183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 .858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 .003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 .453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 .622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×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 .073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 .548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−0.20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 0.45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1" w:before="21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 .043</w:t>
            </w:r>
          </w:p>
        </w:tc>
      </w:tr>
    </w:tbl>
    <w:p>
      <w:pPr>
        <w:pStyle w:val="FirstParagraph"/>
      </w:pPr>
      <w:r>
        <w:t xml:space="preserve">Segal et al. (</w:t>
      </w:r>
      <w:hyperlink w:anchor="ref-segalRandomizedControlledTrial2025">
        <w:r>
          <w:rPr>
            <w:rStyle w:val="Hyperlink"/>
          </w:rPr>
          <w:t xml:space="preserve">2025</w:t>
        </w:r>
      </w:hyperlink>
      <w: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036"/>
        <w:gridCol w:w="3244"/>
        <w:gridCol w:w="2101"/>
        <w:gridCol w:w="1974"/>
        <w:gridCol w:w="2606"/>
      </w:tblGrid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Baseline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Radical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acceptance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Full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(8.36)   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 32.8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(8.94)   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(7.25)  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(8.6)   </w:t>
            </w:r>
          </w:p>
        </w:tc>
      </w:tr>
      <w:tr>
        <w:trPr>
          <w:trHeight w:val="360" w:hRule="auto"/>
        </w:trPr>
        body 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Deployed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Relative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(2.27%)  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(1.54%) 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(4.55%)  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(3.85%) 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(88.37%) 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(75.00%) 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(81.40%)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  106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(81.54%)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(6.98%)  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(18.18%) 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(13.08%)</w:t>
            </w:r>
          </w:p>
        </w:tc>
      </w:tr>
      <w:tr>
        <w:trPr>
          <w:trHeight w:val="360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Educational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Level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(22.73%) 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(17.69%)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Bachelor’s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(55.81%) 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(38.64%) 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(52.31%)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Graduate’s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(38.64%) 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(30.00%)</w:t>
            </w:r>
          </w:p>
        </w:tc>
      </w:tr>
      <w:tr>
        <w:trPr>
          <w:trHeight w:val="360" w:hRule="auto"/>
        </w:trPr>
        body11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Income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(23.26%) 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(13.64%) 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(25.58%)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(20.77%)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(34.88%) 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(27.27%) 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(23.26%)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(28.46%)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(31.82%) 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(26.15%)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Above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(27.27%) 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(21.54%)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above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(4.65%) 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(3.08%) </w:t>
            </w:r>
          </w:p>
        </w:tc>
      </w:tr>
      <w:tr>
        <w:trPr>
          <w:trHeight w:val="360" w:hRule="auto"/>
        </w:trPr>
        body17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(2.33%) 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(0.77%) 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Married/partnered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(97.67%)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  129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(99.23%)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Divorced/widowed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    0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(0.00%) </w:t>
            </w:r>
          </w:p>
        </w:tc>
      </w:tr>
      <w:tr>
        <w:trPr>
          <w:trHeight w:val="360" w:hRule="auto"/>
        </w:trPr>
        body22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Children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(60.47%) 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(59.09%) 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(60.00%)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(39.53%) 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(40.91%) 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   52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(40.00%)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30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children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(1.82)   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(1.92)   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(2.58)  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56" w:before="56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(1.13)  </w:t>
            </w:r>
          </w:p>
        </w:tc>
      </w:tr>
    </w:tbl>
    <w:bookmarkEnd w:id="22"/>
    <w:bookmarkEnd w:id="23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5" w:name="ref-fabianoRandomizedControlledTrial2025"/>
    <w:p>
      <w:pPr>
        <w:pStyle w:val="Bibliography"/>
      </w:pPr>
      <w:r>
        <w:t xml:space="preserve">Fabiano, G. A., Schatz, N. K., Merrill, B. M., Piscitello, J., Hayes, T. B., Jusko, M., Gnagy, E. M., Greiner, A. R., Tower, D., Boeckel, A., Gallo, R., Lupas, K., Gordon, C., Ramos, M., Sikov, J., Caron, S., &amp; Pelham, W. E. (2025). A randomized, controlled trial to evaluate the efficacy of a daily report card intervention to enhance the efficacy of individualized education programs for children with attention-deficit/hyperactivity disorder.</w:t>
      </w:r>
      <w:r>
        <w:t xml:space="preserve"> </w:t>
      </w:r>
      <w:r>
        <w:rPr>
          <w:i/>
          <w:iCs/>
        </w:rPr>
        <w:t xml:space="preserve">Journal of Consulting and Clinical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93</w:t>
      </w:r>
      <w:r>
        <w:t xml:space="preserve">(7), 484–499.</w:t>
      </w:r>
      <w:r>
        <w:t xml:space="preserve"> </w:t>
      </w:r>
      <w:hyperlink r:id="rId24">
        <w:r>
          <w:rPr>
            <w:rStyle w:val="Hyperlink"/>
          </w:rPr>
          <w:t xml:space="preserve">https://doi.org/10.1037/ccp0000959</w:t>
        </w:r>
      </w:hyperlink>
    </w:p>
    <w:bookmarkEnd w:id="25"/>
    <w:bookmarkStart w:id="27" w:name="ref-segalRandomizedControlledTrial2025"/>
    <w:p>
      <w:pPr>
        <w:pStyle w:val="Bibliography"/>
      </w:pPr>
      <w:r>
        <w:t xml:space="preserve">Segal, O., Hevron, H., Sher, H., Aderka, I. M., &amp; Weinbach, N. (2025). A randomized controlled trial of an online dialectical behavior therapy skills intervention for war-related distress.</w:t>
      </w:r>
      <w:r>
        <w:t xml:space="preserve"> </w:t>
      </w:r>
      <w:r>
        <w:rPr>
          <w:i/>
          <w:iCs/>
        </w:rPr>
        <w:t xml:space="preserve">Journal of Consulting and Clinical Psychology</w:t>
      </w:r>
      <w:r>
        <w:t xml:space="preserve">,</w:t>
      </w:r>
      <w:r>
        <w:t xml:space="preserve"> </w:t>
      </w:r>
      <w:r>
        <w:rPr>
          <w:i/>
          <w:iCs/>
        </w:rPr>
        <w:t xml:space="preserve">93</w:t>
      </w:r>
      <w:r>
        <w:t xml:space="preserve">(7), 500–510.</w:t>
      </w:r>
      <w:r>
        <w:t xml:space="preserve"> </w:t>
      </w:r>
      <w:hyperlink r:id="rId26">
        <w:r>
          <w:rPr>
            <w:rStyle w:val="Hyperlink"/>
          </w:rPr>
          <w:t xml:space="preserve">https://doi.org/10.1037/ccp0000958</w:t>
        </w:r>
      </w:hyperlink>
    </w:p>
    <w:bookmarkEnd w:id="27"/>
    <w:bookmarkStart w:id="29" w:name="ref-wilmotMappingDomainsLife2025"/>
    <w:p>
      <w:pPr>
        <w:pStyle w:val="Bibliography"/>
      </w:pPr>
      <w:r>
        <w:t xml:space="preserve">Wilmot, M. P., Wiernik, B. M., &amp; Ones, D. S. (2025). Mapping domains of life success: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 meta-analytic criterion profile analysis.</w:t>
      </w:r>
      <w:r>
        <w:t xml:space="preserve"> </w:t>
      </w:r>
      <w:r>
        <w:rPr>
          <w:i/>
          <w:iCs/>
        </w:rPr>
        <w:t xml:space="preserve">Psychological Bulletin</w:t>
      </w:r>
      <w:r>
        <w:t xml:space="preserve">,</w:t>
      </w:r>
      <w:r>
        <w:t xml:space="preserve"> </w:t>
      </w:r>
      <w:r>
        <w:rPr>
          <w:i/>
          <w:iCs/>
        </w:rPr>
        <w:t xml:space="preserve">151</w:t>
      </w:r>
      <w:r>
        <w:t xml:space="preserve">(6), 767–818.</w:t>
      </w:r>
      <w:r>
        <w:t xml:space="preserve"> </w:t>
      </w:r>
      <w:hyperlink r:id="rId28">
        <w:r>
          <w:rPr>
            <w:rStyle w:val="Hyperlink"/>
          </w:rPr>
          <w:t xml:space="preserve">https://doi.org/10.1037/bul0000476</w:t>
        </w:r>
      </w:hyperlink>
    </w:p>
    <w:bookmarkEnd w:id="29"/>
    <w:bookmarkEnd w:id="30"/>
    <w:bookmarkEnd w:id="3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00670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9D458D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21FF2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sid w:val="00500670"/>
    <w:rPr>
      <w:i w:val="0"/>
      <w:shd w:color="auto" w:fill="F1F3F5" w:val="clear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rsid w:val="00500670"/>
    <w:pPr>
      <w:shd w:color="auto" w:fill="F1F3F5" w:val="clear"/>
      <w:wordWrap w:val="0"/>
      <w:spacing w:line="240" w:lineRule="auto"/>
    </w:pPr>
  </w:style>
  <w:style w:customStyle="1" w:styleId="KeywordTok" w:type="character">
    <w:name w:val="Keyword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 w:val="0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 w:val="0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 w:val="0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 w:val="0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 w:val="0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 w:val="0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 w:val="0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 w:val="0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 w:val="0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 w:val="0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 w:val="0"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doi.org/10.1037/bul0000476" TargetMode="External" /><Relationship Type="http://schemas.openxmlformats.org/officeDocument/2006/relationships/hyperlink" Id="rId26" Target="https://doi.org/10.1037/ccp0000958" TargetMode="External" /><Relationship Type="http://schemas.openxmlformats.org/officeDocument/2006/relationships/hyperlink" Id="rId24" Target="https://doi.org/10.1037/ccp00009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37/bul0000476" TargetMode="External" /><Relationship Type="http://schemas.openxmlformats.org/officeDocument/2006/relationships/hyperlink" Id="rId26" Target="https://doi.org/10.1037/ccp0000958" TargetMode="External" /><Relationship Type="http://schemas.openxmlformats.org/officeDocument/2006/relationships/hyperlink" Id="rId24" Target="https://doi.org/10.1037/ccp00009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USING APA7 AND FLEXTABLE TO RECREATE TABLES FROM RECENT APA JOURNAL ARTICLES</dc:description>
  <cp:keywords/>
  <dcterms:created xsi:type="dcterms:W3CDTF">2025-08-14T11:42:28Z</dcterms:created>
  <dcterms:modified xsi:type="dcterms:W3CDTF">2025-08-14T11:42:28Z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uthor">
    <vt:lpwstr/>
  </property>
  <property fmtid="{D5CDD505-2E9C-101B-9397-08002B2CF9AE}" pid="5" name="apatitle">
    <vt:lpwstr>USING APA7 AND FLEXTABLE TO RECREATE TABLES FROM RECENT APA JOURNAL ARTICLES</vt:lpwstr>
  </property>
  <property fmtid="{D5CDD505-2E9C-101B-9397-08002B2CF9AE}" pid="6" name="apatitledisplay">
    <vt:lpwstr>Using apa7 and flextable to Recreate Tables from Recent APA Journal Articles</vt:lpwstr>
  </property>
  <property fmtid="{D5CDD505-2E9C-101B-9397-08002B2CF9AE}" pid="7" name="authors">
    <vt:lpwstr/>
  </property>
  <property fmtid="{D5CDD505-2E9C-101B-9397-08002B2CF9AE}" pid="8" name="biblio-config">
    <vt:lpwstr>True</vt:lpwstr>
  </property>
  <property fmtid="{D5CDD505-2E9C-101B-9397-08002B2CF9AE}" pid="9" name="by-affiliation">
    <vt:lpwstr/>
  </property>
  <property fmtid="{D5CDD505-2E9C-101B-9397-08002B2CF9AE}" pid="10" name="by-author">
    <vt:lpwstr/>
  </property>
  <property fmtid="{D5CDD505-2E9C-101B-9397-08002B2CF9AE}" pid="11" name="cap-location">
    <vt:lpwstr>top</vt:lpwstr>
  </property>
  <property fmtid="{D5CDD505-2E9C-101B-9397-08002B2CF9AE}" pid="12" name="crossref">
    <vt:lpwstr/>
  </property>
  <property fmtid="{D5CDD505-2E9C-101B-9397-08002B2CF9AE}" pid="13" name="csl">
    <vt:lpwstr>_extensions/wjschne/apaquarto/apa.csl</vt:lpwstr>
  </property>
  <property fmtid="{D5CDD505-2E9C-101B-9397-08002B2CF9AE}" pid="14" name="documentmode">
    <vt:lpwstr>man</vt:lpwstr>
  </property>
  <property fmtid="{D5CDD505-2E9C-101B-9397-08002B2CF9AE}" pid="15" name="execute">
    <vt:lpwstr/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True</vt:lpwstr>
  </property>
  <property fmtid="{D5CDD505-2E9C-101B-9397-08002B2CF9AE}" pid="27" name="oneauthor">
    <vt:lpwstr>True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impact-statement">
    <vt:lpwstr>False</vt:lpwstr>
  </property>
  <property fmtid="{D5CDD505-2E9C-101B-9397-08002B2CF9AE}" pid="46" name="suppress-keywords">
    <vt:lpwstr>False</vt:lpwstr>
  </property>
  <property fmtid="{D5CDD505-2E9C-101B-9397-08002B2CF9AE}" pid="47" name="suppress-orcid">
    <vt:lpwstr>False</vt:lpwstr>
  </property>
  <property fmtid="{D5CDD505-2E9C-101B-9397-08002B2CF9AE}" pid="48" name="suppress-short-title">
    <vt:lpwstr>False</vt:lpwstr>
  </property>
  <property fmtid="{D5CDD505-2E9C-101B-9397-08002B2CF9AE}" pid="49" name="suppress-status-change-paragraph">
    <vt:lpwstr>False</vt:lpwstr>
  </property>
  <property fmtid="{D5CDD505-2E9C-101B-9397-08002B2CF9AE}" pid="50" name="suppress-title">
    <vt:lpwstr>False</vt:lpwstr>
  </property>
  <property fmtid="{D5CDD505-2E9C-101B-9397-08002B2CF9AE}" pid="51" name="suppress-title-introduction">
    <vt:lpwstr>False</vt:lpwstr>
  </property>
  <property fmtid="{D5CDD505-2E9C-101B-9397-08002B2CF9AE}" pid="52" name="suppress-title-page">
    <vt:lpwstr>True</vt:lpwstr>
  </property>
  <property fmtid="{D5CDD505-2E9C-101B-9397-08002B2CF9AE}" pid="53" name="suppress-title-page-number">
    <vt:lpwstr>False</vt:lpwstr>
  </property>
  <property fmtid="{D5CDD505-2E9C-101B-9397-08002B2CF9AE}" pid="54" name="tbl-cap-location">
    <vt:lpwstr>top</vt:lpwstr>
  </property>
  <property fmtid="{D5CDD505-2E9C-101B-9397-08002B2CF9AE}" pid="55" name="toc-title">
    <vt:lpwstr>Table of contents</vt:lpwstr>
  </property>
  <property fmtid="{D5CDD505-2E9C-101B-9397-08002B2CF9AE}" pid="56" name="wordn">
    <vt:lpwstr>100</vt:lpwstr>
  </property>
  <property fmtid="{D5CDD505-2E9C-101B-9397-08002B2CF9AE}" pid="57" name="zerocitations">
    <vt:lpwstr>False</vt:lpwstr>
  </property>
</Properties>
</file>