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兴达样品库知识库使用指南</w:t>
      </w:r>
    </w:p>
    <w:p>
      <w:pPr>
        <w:spacing w:after="320"/>
        <w:jc w:val="center"/>
      </w:pPr>
      <w:r>
        <w:rPr>
          <w:color w:val="4B5563"/>
          <w:sz w:val="22"/>
          <w:szCs w:val="22"/>
        </w:rPr>
        <w:t xml:space="preserve">MVP 版本 | 本地部署、数据录入、导入导出与迁移说明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60"/>
          <w:bottom w:type="dxa" w:w="100"/>
          <w:right w:type="dxa" w:w="160"/>
        </w:tblCellMar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D8DEE4" w:sz="1"/>
              <w:left w:val="single" w:color="D8DEE4" w:sz="1"/>
              <w:bottom w:val="single" w:color="D8DEE4" w:sz="1"/>
              <w:right w:val="single" w:color="D8DEE4" w:sz="1"/>
            </w:tcBorders>
            <w:shd w:fill="E5EDF9" w:val="clear"/>
            <w:vAlign w:val="center"/>
          </w:tcPr>
          <w:p>
            <w:pPr>
              <w:spacing w:after="0"/>
            </w:pPr>
            <w:r>
              <w:rPr>
                <w:b/>
                <w:bCs/>
              </w:rPr>
              <w:t xml:space="preserve">项目</w:t>
            </w:r>
          </w:p>
        </w:tc>
        <w:tc>
          <w:tcPr>
            <w:tcW w:type="dxa" w:w="3120"/>
            <w:tcBorders>
              <w:top w:val="single" w:color="D8DEE4" w:sz="1"/>
              <w:left w:val="single" w:color="D8DEE4" w:sz="1"/>
              <w:bottom w:val="single" w:color="D8DEE4" w:sz="1"/>
              <w:right w:val="single" w:color="D8DEE4" w:sz="1"/>
            </w:tcBorders>
            <w:shd w:fill="E5EDF9" w:val="clear"/>
            <w:vAlign w:val="center"/>
          </w:tcPr>
          <w:p>
            <w:pPr>
              <w:spacing w:after="0"/>
            </w:pPr>
            <w:r>
              <w:rPr>
                <w:b/>
                <w:bCs/>
              </w:rPr>
              <w:t xml:space="preserve">说明</w:t>
            </w:r>
          </w:p>
        </w:tc>
        <w:tc>
          <w:tcPr>
            <w:tcW w:type="dxa" w:w="3120"/>
            <w:tcBorders>
              <w:top w:val="single" w:color="D8DEE4" w:sz="1"/>
              <w:left w:val="single" w:color="D8DEE4" w:sz="1"/>
              <w:bottom w:val="single" w:color="D8DEE4" w:sz="1"/>
              <w:right w:val="single" w:color="D8DEE4" w:sz="1"/>
            </w:tcBorders>
            <w:shd w:fill="E5EDF9" w:val="clear"/>
            <w:vAlign w:val="center"/>
          </w:tcPr>
          <w:p>
            <w:pPr>
              <w:spacing w:after="0"/>
            </w:pPr>
            <w:r>
              <w:rPr>
                <w:b/>
                <w:bCs/>
              </w:rPr>
              <w:t xml:space="preserve">位置/入口</w:t>
            </w:r>
          </w:p>
        </w:tc>
      </w:tr>
      <w:tr>
        <w:tc>
          <w:tcPr>
            <w:tcW w:type="dxa" w:w="3120"/>
            <w:tcBorders>
              <w:top w:val="single" w:color="D8DEE4" w:sz="1"/>
              <w:left w:val="single" w:color="D8DEE4" w:sz="1"/>
              <w:bottom w:val="single" w:color="D8DEE4" w:sz="1"/>
              <w:right w:val="single" w:color="D8DEE4" w:sz="1"/>
            </w:tcBorders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启动入口</w:t>
            </w:r>
          </w:p>
        </w:tc>
        <w:tc>
          <w:tcPr>
            <w:tcW w:type="dxa" w:w="3120"/>
            <w:tcBorders>
              <w:top w:val="single" w:color="D8DEE4" w:sz="1"/>
              <w:left w:val="single" w:color="D8DEE4" w:sz="1"/>
              <w:bottom w:val="single" w:color="D8DEE4" w:sz="1"/>
              <w:right w:val="single" w:color="D8DEE4" w:sz="1"/>
            </w:tcBorders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双击打开系统</w:t>
            </w:r>
          </w:p>
        </w:tc>
        <w:tc>
          <w:tcPr>
            <w:tcW w:type="dxa" w:w="3120"/>
            <w:tcBorders>
              <w:top w:val="single" w:color="D8DEE4" w:sz="1"/>
              <w:left w:val="single" w:color="D8DEE4" w:sz="1"/>
              <w:bottom w:val="single" w:color="D8DEE4" w:sz="1"/>
              <w:right w:val="single" w:color="D8DEE4" w:sz="1"/>
            </w:tcBorders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兴达样品库知识库.lnk</w:t>
            </w:r>
          </w:p>
        </w:tc>
      </w:tr>
      <w:tr>
        <w:tc>
          <w:tcPr>
            <w:tcW w:type="dxa" w:w="3120"/>
            <w:tcBorders>
              <w:top w:val="single" w:color="D8DEE4" w:sz="1"/>
              <w:left w:val="single" w:color="D8DEE4" w:sz="1"/>
              <w:bottom w:val="single" w:color="D8DEE4" w:sz="1"/>
              <w:right w:val="single" w:color="D8DEE4" w:sz="1"/>
            </w:tcBorders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数据文件</w:t>
            </w:r>
          </w:p>
        </w:tc>
        <w:tc>
          <w:tcPr>
            <w:tcW w:type="dxa" w:w="3120"/>
            <w:tcBorders>
              <w:top w:val="single" w:color="D8DEE4" w:sz="1"/>
              <w:left w:val="single" w:color="D8DEE4" w:sz="1"/>
              <w:bottom w:val="single" w:color="D8DEE4" w:sz="1"/>
              <w:right w:val="single" w:color="D8DEE4" w:sz="1"/>
            </w:tcBorders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SQLite 本地数据库</w:t>
            </w:r>
          </w:p>
        </w:tc>
        <w:tc>
          <w:tcPr>
            <w:tcW w:type="dxa" w:w="3120"/>
            <w:tcBorders>
              <w:top w:val="single" w:color="D8DEE4" w:sz="1"/>
              <w:left w:val="single" w:color="D8DEE4" w:sz="1"/>
              <w:bottom w:val="single" w:color="D8DEE4" w:sz="1"/>
              <w:right w:val="single" w:color="D8DEE4" w:sz="1"/>
            </w:tcBorders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data\kitchen.db</w:t>
            </w:r>
          </w:p>
        </w:tc>
      </w:tr>
      <w:tr>
        <w:tc>
          <w:tcPr>
            <w:tcW w:type="dxa" w:w="3120"/>
            <w:tcBorders>
              <w:top w:val="single" w:color="D8DEE4" w:sz="1"/>
              <w:left w:val="single" w:color="D8DEE4" w:sz="1"/>
              <w:bottom w:val="single" w:color="D8DEE4" w:sz="1"/>
              <w:right w:val="single" w:color="D8DEE4" w:sz="1"/>
            </w:tcBorders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导出目录</w:t>
            </w:r>
          </w:p>
        </w:tc>
        <w:tc>
          <w:tcPr>
            <w:tcW w:type="dxa" w:w="3120"/>
            <w:tcBorders>
              <w:top w:val="single" w:color="D8DEE4" w:sz="1"/>
              <w:left w:val="single" w:color="D8DEE4" w:sz="1"/>
              <w:bottom w:val="single" w:color="D8DEE4" w:sz="1"/>
              <w:right w:val="single" w:color="D8DEE4" w:sz="1"/>
            </w:tcBorders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导出文件集中存放</w:t>
            </w:r>
          </w:p>
        </w:tc>
        <w:tc>
          <w:tcPr>
            <w:tcW w:type="dxa" w:w="3120"/>
            <w:tcBorders>
              <w:top w:val="single" w:color="D8DEE4" w:sz="1"/>
              <w:left w:val="single" w:color="D8DEE4" w:sz="1"/>
              <w:bottom w:val="single" w:color="D8DEE4" w:sz="1"/>
              <w:right w:val="single" w:color="D8DEE4" w:sz="1"/>
            </w:tcBorders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exports\</w:t>
            </w:r>
          </w:p>
        </w:tc>
      </w:tr>
      <w:tr>
        <w:tc>
          <w:tcPr>
            <w:tcW w:type="dxa" w:w="3120"/>
            <w:tcBorders>
              <w:top w:val="single" w:color="D8DEE4" w:sz="1"/>
              <w:left w:val="single" w:color="D8DEE4" w:sz="1"/>
              <w:bottom w:val="single" w:color="D8DEE4" w:sz="1"/>
              <w:right w:val="single" w:color="D8DEE4" w:sz="1"/>
            </w:tcBorders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离线依赖</w:t>
            </w:r>
          </w:p>
        </w:tc>
        <w:tc>
          <w:tcPr>
            <w:tcW w:type="dxa" w:w="3120"/>
            <w:tcBorders>
              <w:top w:val="single" w:color="D8DEE4" w:sz="1"/>
              <w:left w:val="single" w:color="D8DEE4" w:sz="1"/>
              <w:bottom w:val="single" w:color="D8DEE4" w:sz="1"/>
              <w:right w:val="single" w:color="D8DEE4" w:sz="1"/>
            </w:tcBorders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迁移时可本地安装</w:t>
            </w:r>
          </w:p>
        </w:tc>
        <w:tc>
          <w:tcPr>
            <w:tcW w:type="dxa" w:w="3120"/>
            <w:tcBorders>
              <w:top w:val="single" w:color="D8DEE4" w:sz="1"/>
              <w:left w:val="single" w:color="D8DEE4" w:sz="1"/>
              <w:bottom w:val="single" w:color="D8DEE4" w:sz="1"/>
              <w:right w:val="single" w:color="D8DEE4" w:sz="1"/>
            </w:tcBorders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dependencies\</w:t>
            </w:r>
          </w:p>
        </w:tc>
      </w:tr>
    </w:tbl>
    <w:p>
      <w:pPr>
        <w:pStyle w:val="Heading1"/>
      </w:pPr>
      <w:r>
        <w:t xml:space="preserve">一、快速启动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在项目文件夹中双击“兴达样品库知识库”快捷方式。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系统会自动检查依赖；缺少依赖时，会优先从 dependencies 文件夹离线安装。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等待浏览器或窗口打开登录页，看到“样品库知识库”即表示启动成功。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如果第一次启动较慢，先等待 10 到 30 秒；仍未打开时查看 logs\launcher.log 和 logs\startup.log。</w:t>
      </w:r>
    </w:p>
    <w:p>
      <w:pPr>
        <w:spacing w:after="180" w:before="120"/>
        <w:jc w:val="center"/>
      </w:pPr>
      <w:r>
        <w:drawing>
          <wp:inline distT="0" distB="0" distL="0" distR="0">
            <wp:extent cx="5334000" cy="3514725"/>
            <wp:effectExtent t="0" r="0" b="0" l="0"/>
            <wp:docPr id="1" name="登录页截图" descr="登录页截图" title="登录页截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14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 w:before="0"/>
        <w:jc w:val="center"/>
      </w:pPr>
      <w:r>
        <w:rPr>
          <w:color w:val="6B7280"/>
          <w:sz w:val="18"/>
          <w:szCs w:val="18"/>
        </w:rPr>
        <w:t xml:space="preserve">图 1：登录页面</w:t>
      </w:r>
    </w:p>
    <w:p>
      <w:pPr>
        <w:pStyle w:val="Heading1"/>
      </w:pPr>
      <w:r>
        <w:t xml:space="preserve">二、登录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输入当前操作者姓名或简称。系统不设置密码，用户名用于记录创建人和登录记录。</w:t>
      </w:r>
    </w:p>
    <w:p>
      <w:pPr>
        <w:pStyle w:val="ListParagraph"/>
        <w:numPr>
          <w:ilvl w:val="0"/>
          <w:numId w:val="3"/>
        </w:numPr>
        <w:spacing w:after="80"/>
      </w:pPr>
      <w:r>
        <w:t xml:space="preserve">点击“登录”后进入产品列表。下次打开时会记住最近一次登录名。</w:t>
      </w:r>
    </w:p>
    <w:p>
      <w:pPr>
        <w:pStyle w:val="Heading1"/>
      </w:pPr>
      <w:r>
        <w:t xml:space="preserve">三、产品管理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产品列表用于维护品号、品名、规格、当前数量和产品状态。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点击“+ 新建产品”录入新产品；点击“编辑”修改已有产品。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不再使用的产品先点“归档”。归档产品默认隐藏，可在状态筛选中查看。</w:t>
      </w:r>
    </w:p>
    <w:p>
      <w:pPr>
        <w:pStyle w:val="ListParagraph"/>
        <w:numPr>
          <w:ilvl w:val="0"/>
          <w:numId w:val="4"/>
        </w:numPr>
        <w:spacing w:after="80"/>
      </w:pPr>
      <w:r>
        <w:t xml:space="preserve">只有已归档产品才允许删除，避免误删仍在使用的数据。</w:t>
      </w:r>
    </w:p>
    <w:p>
      <w:pPr>
        <w:spacing w:after="180" w:before="120"/>
        <w:jc w:val="center"/>
      </w:pPr>
      <w:r>
        <w:drawing>
          <wp:inline distT="0" distB="0" distL="0" distR="0">
            <wp:extent cx="5334000" cy="3514725"/>
            <wp:effectExtent t="0" r="0" b="0" l="0"/>
            <wp:docPr id="1" name="产品列表截图" descr="产品列表截图" title="产品列表截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14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 w:before="0"/>
        <w:jc w:val="center"/>
      </w:pPr>
      <w:r>
        <w:rPr>
          <w:color w:val="6B7280"/>
          <w:sz w:val="18"/>
          <w:szCs w:val="18"/>
        </w:rPr>
        <w:t xml:space="preserve">图 2：产品列表和顶部功能区</w:t>
      </w:r>
    </w:p>
    <w:p>
      <w:pPr>
        <w:pStyle w:val="Heading1"/>
      </w:pPr>
      <w:r>
        <w:t xml:space="preserve">四、配方记录</w:t>
      </w:r>
    </w:p>
    <w:p>
      <w:pPr>
        <w:pStyle w:val="ListParagraph"/>
        <w:numPr>
          <w:ilvl w:val="0"/>
          <w:numId w:val="5"/>
        </w:numPr>
        <w:spacing w:after="80"/>
      </w:pPr>
      <w:r>
        <w:t xml:space="preserve">进入产品详情后点击“新建配方”，填写试验日期、配方名称、状态、用量和备注。</w:t>
      </w:r>
    </w:p>
    <w:p>
      <w:pPr>
        <w:pStyle w:val="ListParagraph"/>
        <w:numPr>
          <w:ilvl w:val="0"/>
          <w:numId w:val="5"/>
        </w:numPr>
        <w:spacing w:after="80"/>
      </w:pPr>
      <w:r>
        <w:t xml:space="preserve">原料和辅料按行录入名称、用量、单位。保存后系统会根据产品品号和配方组合生成配方 hash。</w:t>
      </w:r>
    </w:p>
    <w:p>
      <w:pPr>
        <w:pStyle w:val="ListParagraph"/>
        <w:numPr>
          <w:ilvl w:val="0"/>
          <w:numId w:val="5"/>
        </w:numPr>
        <w:spacing w:after="80"/>
      </w:pPr>
      <w:r>
        <w:t xml:space="preserve">状态建议按实际结果选择：成功、失败或待观察。成功率只统计成功/失败，不统计待观察。</w:t>
      </w:r>
    </w:p>
    <w:p>
      <w:pPr>
        <w:pStyle w:val="ListParagraph"/>
        <w:numPr>
          <w:ilvl w:val="0"/>
          <w:numId w:val="5"/>
        </w:numPr>
        <w:spacing w:after="80"/>
      </w:pPr>
      <w:r>
        <w:t xml:space="preserve">同一产品下相同配方组合会自动归到同一成功率汇总中，便于追踪历史表现。</w:t>
      </w:r>
    </w:p>
    <w:p>
      <w:pPr>
        <w:pStyle w:val="Heading1"/>
      </w:pPr>
      <w:r>
        <w:t xml:space="preserve">五、成功率查询</w:t>
      </w:r>
    </w:p>
    <w:p>
      <w:pPr>
        <w:pStyle w:val="ListParagraph"/>
        <w:numPr>
          <w:ilvl w:val="0"/>
          <w:numId w:val="5"/>
        </w:numPr>
        <w:spacing w:after="80"/>
      </w:pPr>
      <w:r>
        <w:t xml:space="preserve">点击顶部“成功率查询”，可按产品、日期、状态、最低/最高成功率筛选。</w:t>
      </w:r>
    </w:p>
    <w:p>
      <w:pPr>
        <w:pStyle w:val="ListParagraph"/>
        <w:numPr>
          <w:ilvl w:val="0"/>
          <w:numId w:val="5"/>
        </w:numPr>
        <w:spacing w:after="80"/>
      </w:pPr>
      <w:r>
        <w:t xml:space="preserve">系统按配方组合展示试验次数、成功次数和成功率。少于 2 次试验时显示“样本不足”。</w:t>
      </w:r>
    </w:p>
    <w:p>
      <w:pPr>
        <w:spacing w:after="180" w:before="120"/>
        <w:jc w:val="center"/>
      </w:pPr>
      <w:r>
        <w:drawing>
          <wp:inline distT="0" distB="0" distL="0" distR="0">
            <wp:extent cx="5334000" cy="3514725"/>
            <wp:effectExtent t="0" r="0" b="0" l="0"/>
            <wp:docPr id="1" name="成功率查询截图" descr="成功率查询截图" title="成功率查询截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14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 w:before="0"/>
        <w:jc w:val="center"/>
      </w:pPr>
      <w:r>
        <w:rPr>
          <w:color w:val="6B7280"/>
          <w:sz w:val="18"/>
          <w:szCs w:val="18"/>
        </w:rPr>
        <w:t xml:space="preserve">图 3：成功率查询页面</w:t>
      </w:r>
    </w:p>
    <w:p>
      <w:pPr>
        <w:pStyle w:val="Heading1"/>
      </w:pPr>
      <w:r>
        <w:t xml:space="preserve">六、备份、导出和导入</w:t>
      </w:r>
    </w:p>
    <w:p>
      <w:pPr>
        <w:pStyle w:val="Heading2"/>
      </w:pPr>
      <w:r>
        <w:t xml:space="preserve">备份</w:t>
      </w:r>
    </w:p>
    <w:p>
      <w:pPr>
        <w:pStyle w:val="ListParagraph"/>
        <w:numPr>
          <w:ilvl w:val="0"/>
          <w:numId w:val="6"/>
        </w:numPr>
        <w:spacing w:after="80"/>
      </w:pPr>
      <w:r>
        <w:t xml:space="preserve">点击顶部“备份”，系统会把当前数据库打包到 backups 目录。</w:t>
      </w:r>
    </w:p>
    <w:p>
      <w:pPr>
        <w:pStyle w:val="ListParagraph"/>
        <w:numPr>
          <w:ilvl w:val="0"/>
          <w:numId w:val="6"/>
        </w:numPr>
        <w:spacing w:after="80"/>
      </w:pPr>
      <w:r>
        <w:t xml:space="preserve">建议在大量录入、导入前、迁移前各备份一次。</w:t>
      </w:r>
    </w:p>
    <w:p>
      <w:pPr>
        <w:pStyle w:val="Heading2"/>
      </w:pPr>
      <w:r>
        <w:t xml:space="preserve">导出</w:t>
      </w:r>
    </w:p>
    <w:p>
      <w:pPr>
        <w:pStyle w:val="ListParagraph"/>
        <w:numPr>
          <w:ilvl w:val="0"/>
          <w:numId w:val="6"/>
        </w:numPr>
        <w:spacing w:after="80"/>
      </w:pPr>
      <w:r>
        <w:t xml:space="preserve">点击“导出”可选择导出产品列表、配方记录、成功率或 JSON。</w:t>
      </w:r>
    </w:p>
    <w:p>
      <w:pPr>
        <w:pStyle w:val="ListParagraph"/>
        <w:numPr>
          <w:ilvl w:val="0"/>
          <w:numId w:val="6"/>
        </w:numPr>
        <w:spacing w:after="80"/>
      </w:pPr>
      <w:r>
        <w:t xml:space="preserve">Excel 导出适合查看和交接；JSON 导出适合后续导入恢复。</w:t>
      </w:r>
    </w:p>
    <w:p>
      <w:pPr>
        <w:pStyle w:val="ListParagraph"/>
        <w:numPr>
          <w:ilvl w:val="0"/>
          <w:numId w:val="6"/>
        </w:numPr>
        <w:spacing w:after="80"/>
      </w:pPr>
      <w:r>
        <w:t xml:space="preserve">导出文件会进入 exports 下的分类文件夹，同时 _latest 文件夹保留最新版本，方便快速取用。</w:t>
      </w:r>
    </w:p>
    <w:p>
      <w:pPr>
        <w:spacing w:after="180" w:before="120"/>
        <w:jc w:val="center"/>
      </w:pPr>
      <w:r>
        <w:drawing>
          <wp:inline distT="0" distB="0" distL="0" distR="0">
            <wp:extent cx="5334000" cy="3514725"/>
            <wp:effectExtent t="0" r="0" b="0" l="0"/>
            <wp:docPr id="1" name="导出菜单截图" descr="导出菜单截图" title="导出菜单截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14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 w:before="0"/>
        <w:jc w:val="center"/>
      </w:pPr>
      <w:r>
        <w:rPr>
          <w:color w:val="6B7280"/>
          <w:sz w:val="18"/>
          <w:szCs w:val="18"/>
        </w:rPr>
        <w:t xml:space="preserve">图 4：导出菜单</w:t>
      </w:r>
    </w:p>
    <w:p>
      <w:pPr>
        <w:pStyle w:val="Heading2"/>
      </w:pPr>
      <w:r>
        <w:t xml:space="preserve">导入</w:t>
      </w:r>
    </w:p>
    <w:p>
      <w:pPr>
        <w:pStyle w:val="ListParagraph"/>
        <w:numPr>
          <w:ilvl w:val="0"/>
          <w:numId w:val="7"/>
        </w:numPr>
        <w:spacing w:after="80"/>
      </w:pPr>
      <w:r>
        <w:t xml:space="preserve">点击顶部“导入”，选择 JSON 导出文件或备份 ZIP。</w:t>
      </w:r>
    </w:p>
    <w:p>
      <w:pPr>
        <w:pStyle w:val="ListParagraph"/>
        <w:numPr>
          <w:ilvl w:val="0"/>
          <w:numId w:val="7"/>
        </w:numPr>
        <w:spacing w:after="80"/>
      </w:pPr>
      <w:r>
        <w:t xml:space="preserve">导入会先自动备份当前数据库，再用导入文件替换当前数据。</w:t>
      </w:r>
    </w:p>
    <w:p>
      <w:pPr>
        <w:pStyle w:val="ListParagraph"/>
        <w:numPr>
          <w:ilvl w:val="0"/>
          <w:numId w:val="7"/>
        </w:numPr>
        <w:spacing w:after="80"/>
      </w:pPr>
      <w:r>
        <w:t xml:space="preserve">导入完成后回到产品列表，核对产品数量和配方数量是否符合预期。</w:t>
      </w:r>
    </w:p>
    <w:p>
      <w:pPr>
        <w:spacing w:after="120"/>
      </w:pPr>
      <w:r>
        <w:rPr>
          <w:color w:val="4B5563"/>
        </w:rPr>
        <w:t xml:space="preserve">注意：导入属于整库替换，不是追加合并。导入前请确认已备份当前数据。</w:t>
      </w:r>
    </w:p>
    <w:p>
      <w:pPr>
        <w:pStyle w:val="Heading1"/>
      </w:pPr>
      <w:r>
        <w:t xml:space="preserve">七、退出系统</w:t>
      </w:r>
    </w:p>
    <w:p>
      <w:pPr>
        <w:pStyle w:val="ListParagraph"/>
        <w:numPr>
          <w:ilvl w:val="0"/>
          <w:numId w:val="8"/>
        </w:numPr>
        <w:spacing w:after="80"/>
      </w:pPr>
      <w:r>
        <w:t xml:space="preserve">点击右上角红色“退出”。系统会弹出确认窗口。</w:t>
      </w:r>
    </w:p>
    <w:p>
      <w:pPr>
        <w:pStyle w:val="ListParagraph"/>
        <w:numPr>
          <w:ilvl w:val="0"/>
          <w:numId w:val="8"/>
        </w:numPr>
        <w:spacing w:after="80"/>
      </w:pPr>
      <w:r>
        <w:t xml:space="preserve">选择“取消”会停留在当前页面，不做任何退出动作。</w:t>
      </w:r>
    </w:p>
    <w:p>
      <w:pPr>
        <w:pStyle w:val="ListParagraph"/>
        <w:numPr>
          <w:ilvl w:val="0"/>
          <w:numId w:val="8"/>
        </w:numPr>
        <w:spacing w:after="80"/>
      </w:pPr>
      <w:r>
        <w:t xml:space="preserve">选择“确认退出”会先备份当前数据，再停止后台端口和 Python 进程。</w:t>
      </w:r>
    </w:p>
    <w:p>
      <w:pPr>
        <w:spacing w:after="180" w:before="120"/>
        <w:jc w:val="center"/>
      </w:pPr>
      <w:r>
        <w:drawing>
          <wp:inline distT="0" distB="0" distL="0" distR="0">
            <wp:extent cx="5334000" cy="3514725"/>
            <wp:effectExtent t="0" r="0" b="0" l="0"/>
            <wp:docPr id="1" name="退出确认截图" descr="退出确认截图" title="退出确认截图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514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20" w:before="0"/>
        <w:jc w:val="center"/>
      </w:pPr>
      <w:r>
        <w:rPr>
          <w:color w:val="6B7280"/>
          <w:sz w:val="18"/>
          <w:szCs w:val="18"/>
        </w:rPr>
        <w:t xml:space="preserve">图 5：退出确认窗口</w:t>
      </w:r>
    </w:p>
    <w:p>
      <w:pPr>
        <w:pStyle w:val="Heading1"/>
      </w:pPr>
      <w:r>
        <w:t xml:space="preserve">八、迁移到其他电脑</w:t>
      </w:r>
    </w:p>
    <w:p>
      <w:pPr>
        <w:pStyle w:val="ListParagraph"/>
        <w:numPr>
          <w:ilvl w:val="0"/>
          <w:numId w:val="9"/>
        </w:numPr>
        <w:spacing w:after="80"/>
      </w:pPr>
      <w:r>
        <w:t xml:space="preserve">复制整个项目文件夹，不要只复制单个程序文件。</w:t>
      </w:r>
    </w:p>
    <w:p>
      <w:pPr>
        <w:pStyle w:val="ListParagraph"/>
        <w:numPr>
          <w:ilvl w:val="0"/>
          <w:numId w:val="9"/>
        </w:numPr>
        <w:spacing w:after="80"/>
      </w:pPr>
      <w:r>
        <w:t xml:space="preserve">确认 data、dependencies、exports、backups、兴达样品库知识库.lnk、启动样品库知识库.bat 都随文件夹一起带走。</w:t>
      </w:r>
    </w:p>
    <w:p>
      <w:pPr>
        <w:pStyle w:val="ListParagraph"/>
        <w:numPr>
          <w:ilvl w:val="0"/>
          <w:numId w:val="9"/>
        </w:numPr>
        <w:spacing w:after="80"/>
      </w:pPr>
      <w:r>
        <w:t xml:space="preserve">到新电脑后双击“兴达样品库知识库”。如缺少依赖，启动脚本会从 dependencies 离线安装。</w:t>
      </w:r>
    </w:p>
    <w:p>
      <w:pPr>
        <w:pStyle w:val="ListParagraph"/>
        <w:numPr>
          <w:ilvl w:val="0"/>
          <w:numId w:val="9"/>
        </w:numPr>
        <w:spacing w:after="80"/>
      </w:pPr>
      <w:r>
        <w:t xml:space="preserve">迁移后先打开产品列表，再做一次备份，确认新环境可用。</w:t>
      </w:r>
    </w:p>
    <w:p>
      <w:pPr>
        <w:pStyle w:val="Heading1"/>
      </w:pPr>
      <w:r>
        <w:t xml:space="preserve">九、常见问题</w:t>
      </w:r>
    </w:p>
    <w:p>
      <w:pPr>
        <w:pStyle w:val="ListParagraph"/>
        <w:numPr>
          <w:ilvl w:val="0"/>
          <w:numId w:val="10"/>
        </w:numPr>
        <w:spacing w:after="80"/>
      </w:pPr>
      <w:r>
        <w:t xml:space="preserve">双击后没有页面：等待 10 到 30 秒，然后查看 logs\launcher.log 和 logs\startup.log。</w:t>
      </w:r>
    </w:p>
    <w:p>
      <w:pPr>
        <w:pStyle w:val="ListParagraph"/>
        <w:numPr>
          <w:ilvl w:val="0"/>
          <w:numId w:val="10"/>
        </w:numPr>
        <w:spacing w:after="80"/>
      </w:pPr>
      <w:r>
        <w:t xml:space="preserve">端口被占用：退出系统后再启动；如果仍占用，重启电脑通常可清理残留进程。</w:t>
      </w:r>
    </w:p>
    <w:p>
      <w:pPr>
        <w:pStyle w:val="ListParagraph"/>
        <w:numPr>
          <w:ilvl w:val="0"/>
          <w:numId w:val="10"/>
        </w:numPr>
        <w:spacing w:after="80"/>
      </w:pPr>
      <w:r>
        <w:t xml:space="preserve">导入失败：确认文件是本系统导出的 JSON，或 backups 目录里的 ZIP 备份。</w:t>
      </w:r>
    </w:p>
    <w:p>
      <w:pPr>
        <w:pStyle w:val="ListParagraph"/>
        <w:numPr>
          <w:ilvl w:val="0"/>
          <w:numId w:val="10"/>
        </w:numPr>
        <w:spacing w:after="80"/>
      </w:pPr>
      <w:r>
        <w:t xml:space="preserve">导出找不到：优先查看 exports\_latest，那里保留每类导出的最新文件。</w:t>
      </w:r>
    </w:p>
    <w:p>
      <w:r>
        <w:br w:type="page"/>
      </w:r>
    </w:p>
    <w:p>
      <w:pPr>
        <w:pStyle w:val="Heading1"/>
      </w:pPr>
      <w:r>
        <w:t xml:space="preserve">附录：关键文件夹说明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60"/>
          <w:bottom w:type="dxa" w:w="100"/>
          <w:right w:type="dxa" w:w="160"/>
        </w:tblCellMar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D8DEE4" w:sz="1"/>
              <w:left w:val="single" w:color="D8DEE4" w:sz="1"/>
              <w:bottom w:val="single" w:color="D8DEE4" w:sz="1"/>
              <w:right w:val="single" w:color="D8DEE4" w:sz="1"/>
            </w:tcBorders>
            <w:shd w:fill="E5EDF9" w:val="clear"/>
            <w:vAlign w:val="center"/>
          </w:tcPr>
          <w:p>
            <w:pPr>
              <w:spacing w:after="0"/>
            </w:pPr>
            <w:r>
              <w:rPr>
                <w:b/>
                <w:bCs/>
              </w:rPr>
              <w:t xml:space="preserve">文件夹/文件</w:t>
            </w:r>
          </w:p>
        </w:tc>
        <w:tc>
          <w:tcPr>
            <w:tcW w:type="dxa" w:w="3120"/>
            <w:tcBorders>
              <w:top w:val="single" w:color="D8DEE4" w:sz="1"/>
              <w:left w:val="single" w:color="D8DEE4" w:sz="1"/>
              <w:bottom w:val="single" w:color="D8DEE4" w:sz="1"/>
              <w:right w:val="single" w:color="D8DEE4" w:sz="1"/>
            </w:tcBorders>
            <w:shd w:fill="E5EDF9" w:val="clear"/>
            <w:vAlign w:val="center"/>
          </w:tcPr>
          <w:p>
            <w:pPr>
              <w:spacing w:after="0"/>
            </w:pPr>
            <w:r>
              <w:rPr>
                <w:b/>
                <w:bCs/>
              </w:rPr>
              <w:t xml:space="preserve">用途</w:t>
            </w:r>
          </w:p>
        </w:tc>
        <w:tc>
          <w:tcPr>
            <w:tcW w:type="dxa" w:w="3120"/>
            <w:tcBorders>
              <w:top w:val="single" w:color="D8DEE4" w:sz="1"/>
              <w:left w:val="single" w:color="D8DEE4" w:sz="1"/>
              <w:bottom w:val="single" w:color="D8DEE4" w:sz="1"/>
              <w:right w:val="single" w:color="D8DEE4" w:sz="1"/>
            </w:tcBorders>
            <w:shd w:fill="E5EDF9" w:val="clear"/>
            <w:vAlign w:val="center"/>
          </w:tcPr>
          <w:p>
            <w:pPr>
              <w:spacing w:after="0"/>
            </w:pPr>
            <w:r>
              <w:rPr>
                <w:b/>
                <w:bCs/>
              </w:rPr>
              <w:t xml:space="preserve">是否建议迁移</w:t>
            </w:r>
          </w:p>
        </w:tc>
      </w:tr>
      <w:tr>
        <w:tc>
          <w:tcPr>
            <w:tcW w:type="dxa" w:w="3120"/>
            <w:tcBorders>
              <w:top w:val="single" w:color="D8DEE4" w:sz="1"/>
              <w:left w:val="single" w:color="D8DEE4" w:sz="1"/>
              <w:bottom w:val="single" w:color="D8DEE4" w:sz="1"/>
              <w:right w:val="single" w:color="D8DEE4" w:sz="1"/>
            </w:tcBorders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data\kitchen.db</w:t>
            </w:r>
          </w:p>
        </w:tc>
        <w:tc>
          <w:tcPr>
            <w:tcW w:type="dxa" w:w="3120"/>
            <w:tcBorders>
              <w:top w:val="single" w:color="D8DEE4" w:sz="1"/>
              <w:left w:val="single" w:color="D8DEE4" w:sz="1"/>
              <w:bottom w:val="single" w:color="D8DEE4" w:sz="1"/>
              <w:right w:val="single" w:color="D8DEE4" w:sz="1"/>
            </w:tcBorders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核心数据库</w:t>
            </w:r>
          </w:p>
        </w:tc>
        <w:tc>
          <w:tcPr>
            <w:tcW w:type="dxa" w:w="3120"/>
            <w:tcBorders>
              <w:top w:val="single" w:color="D8DEE4" w:sz="1"/>
              <w:left w:val="single" w:color="D8DEE4" w:sz="1"/>
              <w:bottom w:val="single" w:color="D8DEE4" w:sz="1"/>
              <w:right w:val="single" w:color="D8DEE4" w:sz="1"/>
            </w:tcBorders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必须</w:t>
            </w:r>
          </w:p>
        </w:tc>
      </w:tr>
      <w:tr>
        <w:tc>
          <w:tcPr>
            <w:tcW w:type="dxa" w:w="3120"/>
            <w:tcBorders>
              <w:top w:val="single" w:color="D8DEE4" w:sz="1"/>
              <w:left w:val="single" w:color="D8DEE4" w:sz="1"/>
              <w:bottom w:val="single" w:color="D8DEE4" w:sz="1"/>
              <w:right w:val="single" w:color="D8DEE4" w:sz="1"/>
            </w:tcBorders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dependencies\</w:t>
            </w:r>
          </w:p>
        </w:tc>
        <w:tc>
          <w:tcPr>
            <w:tcW w:type="dxa" w:w="3120"/>
            <w:tcBorders>
              <w:top w:val="single" w:color="D8DEE4" w:sz="1"/>
              <w:left w:val="single" w:color="D8DEE4" w:sz="1"/>
              <w:bottom w:val="single" w:color="D8DEE4" w:sz="1"/>
              <w:right w:val="single" w:color="D8DEE4" w:sz="1"/>
            </w:tcBorders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离线依赖包</w:t>
            </w:r>
          </w:p>
        </w:tc>
        <w:tc>
          <w:tcPr>
            <w:tcW w:type="dxa" w:w="3120"/>
            <w:tcBorders>
              <w:top w:val="single" w:color="D8DEE4" w:sz="1"/>
              <w:left w:val="single" w:color="D8DEE4" w:sz="1"/>
              <w:bottom w:val="single" w:color="D8DEE4" w:sz="1"/>
              <w:right w:val="single" w:color="D8DEE4" w:sz="1"/>
            </w:tcBorders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建议</w:t>
            </w:r>
          </w:p>
        </w:tc>
      </w:tr>
      <w:tr>
        <w:tc>
          <w:tcPr>
            <w:tcW w:type="dxa" w:w="3120"/>
            <w:tcBorders>
              <w:top w:val="single" w:color="D8DEE4" w:sz="1"/>
              <w:left w:val="single" w:color="D8DEE4" w:sz="1"/>
              <w:bottom w:val="single" w:color="D8DEE4" w:sz="1"/>
              <w:right w:val="single" w:color="D8DEE4" w:sz="1"/>
            </w:tcBorders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exports\</w:t>
            </w:r>
          </w:p>
        </w:tc>
        <w:tc>
          <w:tcPr>
            <w:tcW w:type="dxa" w:w="3120"/>
            <w:tcBorders>
              <w:top w:val="single" w:color="D8DEE4" w:sz="1"/>
              <w:left w:val="single" w:color="D8DEE4" w:sz="1"/>
              <w:bottom w:val="single" w:color="D8DEE4" w:sz="1"/>
              <w:right w:val="single" w:color="D8DEE4" w:sz="1"/>
            </w:tcBorders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导出的 Excel/JSON 数据</w:t>
            </w:r>
          </w:p>
        </w:tc>
        <w:tc>
          <w:tcPr>
            <w:tcW w:type="dxa" w:w="3120"/>
            <w:tcBorders>
              <w:top w:val="single" w:color="D8DEE4" w:sz="1"/>
              <w:left w:val="single" w:color="D8DEE4" w:sz="1"/>
              <w:bottom w:val="single" w:color="D8DEE4" w:sz="1"/>
              <w:right w:val="single" w:color="D8DEE4" w:sz="1"/>
            </w:tcBorders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按需</w:t>
            </w:r>
          </w:p>
        </w:tc>
      </w:tr>
      <w:tr>
        <w:tc>
          <w:tcPr>
            <w:tcW w:type="dxa" w:w="3120"/>
            <w:tcBorders>
              <w:top w:val="single" w:color="D8DEE4" w:sz="1"/>
              <w:left w:val="single" w:color="D8DEE4" w:sz="1"/>
              <w:bottom w:val="single" w:color="D8DEE4" w:sz="1"/>
              <w:right w:val="single" w:color="D8DEE4" w:sz="1"/>
            </w:tcBorders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backups\</w:t>
            </w:r>
          </w:p>
        </w:tc>
        <w:tc>
          <w:tcPr>
            <w:tcW w:type="dxa" w:w="3120"/>
            <w:tcBorders>
              <w:top w:val="single" w:color="D8DEE4" w:sz="1"/>
              <w:left w:val="single" w:color="D8DEE4" w:sz="1"/>
              <w:bottom w:val="single" w:color="D8DEE4" w:sz="1"/>
              <w:right w:val="single" w:color="D8DEE4" w:sz="1"/>
            </w:tcBorders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备份 ZIP</w:t>
            </w:r>
          </w:p>
        </w:tc>
        <w:tc>
          <w:tcPr>
            <w:tcW w:type="dxa" w:w="3120"/>
            <w:tcBorders>
              <w:top w:val="single" w:color="D8DEE4" w:sz="1"/>
              <w:left w:val="single" w:color="D8DEE4" w:sz="1"/>
              <w:bottom w:val="single" w:color="D8DEE4" w:sz="1"/>
              <w:right w:val="single" w:color="D8DEE4" w:sz="1"/>
            </w:tcBorders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建议</w:t>
            </w:r>
          </w:p>
        </w:tc>
      </w:tr>
      <w:tr>
        <w:tc>
          <w:tcPr>
            <w:tcW w:type="dxa" w:w="3120"/>
            <w:tcBorders>
              <w:top w:val="single" w:color="D8DEE4" w:sz="1"/>
              <w:left w:val="single" w:color="D8DEE4" w:sz="1"/>
              <w:bottom w:val="single" w:color="D8DEE4" w:sz="1"/>
              <w:right w:val="single" w:color="D8DEE4" w:sz="1"/>
            </w:tcBorders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logs\</w:t>
            </w:r>
          </w:p>
        </w:tc>
        <w:tc>
          <w:tcPr>
            <w:tcW w:type="dxa" w:w="3120"/>
            <w:tcBorders>
              <w:top w:val="single" w:color="D8DEE4" w:sz="1"/>
              <w:left w:val="single" w:color="D8DEE4" w:sz="1"/>
              <w:bottom w:val="single" w:color="D8DEE4" w:sz="1"/>
              <w:right w:val="single" w:color="D8DEE4" w:sz="1"/>
            </w:tcBorders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启动和故障日志</w:t>
            </w:r>
          </w:p>
        </w:tc>
        <w:tc>
          <w:tcPr>
            <w:tcW w:type="dxa" w:w="3120"/>
            <w:tcBorders>
              <w:top w:val="single" w:color="D8DEE4" w:sz="1"/>
              <w:left w:val="single" w:color="D8DEE4" w:sz="1"/>
              <w:bottom w:val="single" w:color="D8DEE4" w:sz="1"/>
              <w:right w:val="single" w:color="D8DEE4" w:sz="1"/>
            </w:tcBorders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按需</w:t>
            </w:r>
          </w:p>
        </w:tc>
      </w:tr>
      <w:tr>
        <w:tc>
          <w:tcPr>
            <w:tcW w:type="dxa" w:w="3120"/>
            <w:tcBorders>
              <w:top w:val="single" w:color="D8DEE4" w:sz="1"/>
              <w:left w:val="single" w:color="D8DEE4" w:sz="1"/>
              <w:bottom w:val="single" w:color="D8DEE4" w:sz="1"/>
              <w:right w:val="single" w:color="D8DEE4" w:sz="1"/>
            </w:tcBorders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兴达样品库知识库.lnk</w:t>
            </w:r>
          </w:p>
        </w:tc>
        <w:tc>
          <w:tcPr>
            <w:tcW w:type="dxa" w:w="3120"/>
            <w:tcBorders>
              <w:top w:val="single" w:color="D8DEE4" w:sz="1"/>
              <w:left w:val="single" w:color="D8DEE4" w:sz="1"/>
              <w:bottom w:val="single" w:color="D8DEE4" w:sz="1"/>
              <w:right w:val="single" w:color="D8DEE4" w:sz="1"/>
            </w:tcBorders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双击启动入口</w:t>
            </w:r>
          </w:p>
        </w:tc>
        <w:tc>
          <w:tcPr>
            <w:tcW w:type="dxa" w:w="3120"/>
            <w:tcBorders>
              <w:top w:val="single" w:color="D8DEE4" w:sz="1"/>
              <w:left w:val="single" w:color="D8DEE4" w:sz="1"/>
              <w:bottom w:val="single" w:color="D8DEE4" w:sz="1"/>
              <w:right w:val="single" w:color="D8DEE4" w:sz="1"/>
            </w:tcBorders>
            <w:vAlign w:val="center"/>
          </w:tcPr>
          <w:p>
            <w:pPr>
              <w:spacing w:after="0"/>
            </w:pPr>
            <w:r>
              <w:rPr>
                <w:b w:val="false"/>
                <w:bCs w:val="false"/>
              </w:rPr>
              <w:t xml:space="preserve">建议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080" w:right="1080" w:bottom="1080" w:left="1080" w:header="708" w:footer="708" w:gutter="0"/>
      <w:pgNumType w:start="1" w:fmt="decimal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t xml:space="preserve">第 </w:t>
    </w: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sz w:val="18"/>
        <w:szCs w:val="18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6B7280"/>
        <w:sz w:val="18"/>
        <w:szCs w:val="18"/>
      </w:rPr>
      <w:t xml:space="preserve">兴达样品库知识库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7"/>
    <w:lvlOverride w:ilvl="0">
      <w:startOverride w:val="1"/>
    </w:lvlOverride>
  </w:num>
  <w:num w:numId="8">
    <w:abstractNumId w:val="8"/>
    <w:lvlOverride w:ilvl="0">
      <w:startOverride w:val="1"/>
    </w:lvlOverride>
  </w:num>
  <w:num w:numId="9">
    <w:abstractNumId w:val="9"/>
    <w:lvlOverride w:ilvl="0">
      <w:startOverride w:val="1"/>
    </w:lvlOverride>
  </w:num>
  <w:num w:numId="10">
    <w:abstractNumId w:val="10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180" w:before="300"/>
      <w:jc w:val="center"/>
    </w:pPr>
    <w:rPr>
      <w:rFonts w:ascii="Microsoft YaHei" w:cs="Microsoft YaHei" w:eastAsia="Microsoft YaHei" w:hAnsi="Microsoft YaHei"/>
      <w:b/>
      <w:bCs/>
      <w:color w:val="111827"/>
      <w:sz w:val="44"/>
      <w:szCs w:val="44"/>
    </w:rPr>
  </w:style>
  <w:style w:type="paragraph" w:styleId="Heading1">
    <w:name w:val="Heading 1"/>
    <w:basedOn w:val="Normal"/>
    <w:next w:val="Normal"/>
    <w:qFormat/>
    <w:pPr>
      <w:spacing w:after="140" w:before="260"/>
      <w:outlineLvl w:val="0"/>
    </w:pPr>
    <w:rPr>
      <w:rFonts w:ascii="Microsoft YaHei" w:cs="Microsoft YaHei" w:eastAsia="Microsoft YaHei" w:hAnsi="Microsoft YaHei"/>
      <w:b/>
      <w:bCs/>
      <w:color w:val="111827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180"/>
      <w:outlineLvl w:val="1"/>
    </w:pPr>
    <w:rPr>
      <w:rFonts w:ascii="Microsoft YaHei" w:cs="Microsoft YaHei" w:eastAsia="Microsoft YaHei" w:hAnsi="Microsoft YaHei"/>
      <w:b/>
      <w:bCs/>
      <w:color w:val="1F2937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2e389dfb39466060eed0c3d7388295c21fe63689.png"/><Relationship Id="rId10" Type="http://schemas.openxmlformats.org/officeDocument/2006/relationships/image" Target="media/fe01760bf14cabd0bfd1f2b901b287e9b681f452.png"/><Relationship Id="rId11" Type="http://schemas.openxmlformats.org/officeDocument/2006/relationships/image" Target="media/c6d6ae842a905445faf1fa88b804e590dcaab699.png"/><Relationship Id="rId12" Type="http://schemas.openxmlformats.org/officeDocument/2006/relationships/image" Target="media/3c3867b3ce43c61eb2d7c2a1a0497bf09a775a88.png"/><Relationship Id="rId13" Type="http://schemas.openxmlformats.org/officeDocument/2006/relationships/image" Target="media/594d648a4a2a39934fb265624dea9895af903f67.png"/><Relationship Id="rId1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兴达样品库知识库使用指南</dc:title>
  <dc:creator>Codex</dc:creator>
  <dc:description>兴达样品库知识库 MVP 使用指南</dc:description>
  <cp:lastModifiedBy>Un-named</cp:lastModifiedBy>
  <cp:revision>1</cp:revision>
  <dcterms:created xsi:type="dcterms:W3CDTF">2026-06-07T03:44:15.585Z</dcterms:created>
  <dcterms:modified xsi:type="dcterms:W3CDTF">2026-06-07T03:44:15.585Z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