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sidP="002C3F10">
      <w:pPr>
        <w:spacing w:after="0" w:line="240" w:lineRule="auto"/>
      </w:pPr>
      <w:r>
        <w:separator/>
      </w:r>
    </w:p>
  </w:endnote>
  <w:endnote w:type="continuationSeparator" w:id="0">
    <w:p w:rsidR="00520719" w:rsidRDefault="00520719" w:rsidP="002C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sidP="002C3F10">
      <w:pPr>
        <w:spacing w:after="0" w:line="240" w:lineRule="auto"/>
      </w:pPr>
      <w:r>
        <w:separator/>
      </w:r>
    </w:p>
  </w:footnote>
  <w:footnote w:type="continuationSeparator" w:id="0">
    <w:p w:rsidR="00520719" w:rsidRDefault="00520719" w:rsidP="002C3F10">
      <w:pPr>
        <w:spacing w:after="0" w:line="240" w:lineRule="auto"/>
      </w:pPr>
      <w:r>
        <w:continuationSeparator/>
      </w:r>
    </w:p>
  </w:footnote>
  <w:footnote w:id="1">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Ruiz, B. (2001). </w:t>
      </w:r>
      <w:proofErr w:type="gramStart"/>
      <w:r>
        <w:rPr>
          <w:rFonts w:ascii="Times New Roman" w:hAnsi="Times New Roman" w:cs="Times New Roman"/>
          <w:i/>
          <w:iCs/>
        </w:rPr>
        <w:t>The Colombian Civil War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Mcfarland</w:t>
      </w:r>
      <w:proofErr w:type="spellEnd"/>
      <w:r>
        <w:rPr>
          <w:rFonts w:ascii="Times New Roman" w:hAnsi="Times New Roman" w:cs="Times New Roman"/>
        </w:rPr>
        <w:t xml:space="preserve"> &amp; Co </w:t>
      </w:r>
      <w:proofErr w:type="spellStart"/>
      <w:r>
        <w:rPr>
          <w:rFonts w:ascii="Times New Roman" w:hAnsi="Times New Roman" w:cs="Times New Roman"/>
        </w:rPr>
        <w:t>Inc</w:t>
      </w:r>
      <w:proofErr w:type="spellEnd"/>
      <w:r>
        <w:rPr>
          <w:rFonts w:ascii="Times New Roman" w:hAnsi="Times New Roman" w:cs="Times New Roman"/>
        </w:rPr>
        <w:t xml:space="preserve"> Pub.</w:t>
      </w:r>
      <w:proofErr w:type="gramEnd"/>
      <w:r>
        <w:rPr>
          <w:rFonts w:ascii="Times New Roman" w:hAnsi="Times New Roman" w:cs="Times New Roman"/>
        </w:rPr>
        <w:t xml:space="preserve"> </w:t>
      </w:r>
      <w:proofErr w:type="gramStart"/>
      <w:r>
        <w:rPr>
          <w:rFonts w:ascii="Times New Roman" w:hAnsi="Times New Roman" w:cs="Times New Roman"/>
        </w:rPr>
        <w:t>p 44.</w:t>
      </w:r>
      <w:proofErr w:type="gramEnd"/>
    </w:p>
  </w:footnote>
  <w:footnote w:id="2">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 p 47.</w:t>
      </w:r>
      <w:proofErr w:type="gramEnd"/>
    </w:p>
  </w:footnote>
  <w:footnote w:id="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51.</w:t>
      </w:r>
      <w:proofErr w:type="gramEnd"/>
    </w:p>
  </w:footnote>
  <w:footnote w:id="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52.</w:t>
      </w:r>
      <w:proofErr w:type="gramEnd"/>
    </w:p>
  </w:footnote>
  <w:footnote w:id="5">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Herbert, Braun, </w:t>
      </w:r>
      <w:proofErr w:type="gramStart"/>
      <w:r>
        <w:rPr>
          <w:rFonts w:ascii="Times New Roman" w:hAnsi="Times New Roman" w:cs="Times New Roman"/>
          <w:i/>
        </w:rPr>
        <w:t>The</w:t>
      </w:r>
      <w:proofErr w:type="gramEnd"/>
      <w:r>
        <w:rPr>
          <w:rFonts w:ascii="Times New Roman" w:hAnsi="Times New Roman" w:cs="Times New Roman"/>
          <w:i/>
        </w:rPr>
        <w:t xml:space="preserve"> Assassination of </w:t>
      </w:r>
      <w:proofErr w:type="spellStart"/>
      <w:r>
        <w:rPr>
          <w:rFonts w:ascii="Times New Roman" w:hAnsi="Times New Roman" w:cs="Times New Roman"/>
          <w:i/>
        </w:rPr>
        <w:t>Gaitán</w:t>
      </w:r>
      <w:proofErr w:type="spellEnd"/>
      <w:r>
        <w:rPr>
          <w:rFonts w:ascii="Times New Roman" w:hAnsi="Times New Roman" w:cs="Times New Roman"/>
          <w:i/>
        </w:rPr>
        <w:t>: Public Life and Urban Violence in Colombia</w:t>
      </w:r>
      <w:r>
        <w:rPr>
          <w:rFonts w:ascii="Times New Roman" w:hAnsi="Times New Roman" w:cs="Times New Roman"/>
        </w:rPr>
        <w:t xml:space="preserve"> (Madison: University of Wisconsin Press, 1985), p. 132.</w:t>
      </w:r>
    </w:p>
  </w:footnote>
  <w:footnote w:id="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56.</w:t>
      </w:r>
      <w:proofErr w:type="gramEnd"/>
    </w:p>
  </w:footnote>
  <w:footnote w:id="7">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28, 235.</w:t>
      </w:r>
      <w:proofErr w:type="gramEnd"/>
    </w:p>
  </w:footnote>
  <w:footnote w:id="8">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"Colombia - La </w:t>
      </w:r>
      <w:proofErr w:type="spellStart"/>
      <w:r>
        <w:rPr>
          <w:rFonts w:ascii="Times New Roman" w:hAnsi="Times New Roman" w:cs="Times New Roman"/>
        </w:rPr>
        <w:t>Violencia</w:t>
      </w:r>
      <w:proofErr w:type="spellEnd"/>
      <w:r>
        <w:rPr>
          <w:rFonts w:ascii="Times New Roman" w:hAnsi="Times New Roman" w:cs="Times New Roman"/>
        </w:rPr>
        <w:t xml:space="preserve">." </w:t>
      </w:r>
      <w:proofErr w:type="gramStart"/>
      <w:r>
        <w:rPr>
          <w:rFonts w:ascii="Times New Roman" w:hAnsi="Times New Roman" w:cs="Times New Roman"/>
          <w:i/>
          <w:iCs/>
        </w:rPr>
        <w:t>Country Studies</w:t>
      </w:r>
      <w:r>
        <w:rPr>
          <w:rFonts w:ascii="Times New Roman" w:hAnsi="Times New Roman" w:cs="Times New Roman"/>
        </w:rPr>
        <w:t>.</w:t>
      </w:r>
      <w:proofErr w:type="gramEnd"/>
      <w:r>
        <w:rPr>
          <w:rFonts w:ascii="Times New Roman" w:hAnsi="Times New Roman" w:cs="Times New Roman"/>
        </w:rPr>
        <w:t xml:space="preserve">  &lt;http://countrystudies.us/colombia/22.htm&gt;.</w:t>
      </w:r>
    </w:p>
  </w:footnote>
  <w:footnote w:id="9">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ighlight"/>
          <w:rFonts w:ascii="Times New Roman" w:hAnsi="Times New Roman" w:cs="Times New Roman"/>
        </w:rPr>
        <w:t xml:space="preserve"> </w:t>
      </w:r>
      <w:proofErr w:type="gramStart"/>
      <w:r>
        <w:rPr>
          <w:rFonts w:ascii="Times New Roman" w:hAnsi="Times New Roman" w:cs="Times New Roman"/>
        </w:rPr>
        <w:t xml:space="preserve">Bruce, Victoria, Karin Hayes, and Jorge Enrique </w:t>
      </w:r>
      <w:proofErr w:type="spellStart"/>
      <w:r>
        <w:rPr>
          <w:rFonts w:ascii="Times New Roman" w:hAnsi="Times New Roman" w:cs="Times New Roman"/>
        </w:rPr>
        <w:t>Botero</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 xml:space="preserve">Hostage nation:  Colombia's guerrilla army and the failed war on drugs. </w:t>
      </w:r>
      <w:r>
        <w:rPr>
          <w:rFonts w:ascii="Times New Roman" w:hAnsi="Times New Roman" w:cs="Times New Roman"/>
          <w:iCs/>
        </w:rPr>
        <w:t>New York: Alfred A. Knopf, 2010. Kindle loc. 394.</w:t>
      </w:r>
    </w:p>
  </w:footnote>
  <w:footnote w:id="10">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110.</w:t>
      </w:r>
      <w:proofErr w:type="gramEnd"/>
    </w:p>
  </w:footnote>
  <w:footnote w:id="11">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Bruce, Haynes, </w:t>
      </w:r>
      <w:proofErr w:type="spellStart"/>
      <w:r>
        <w:rPr>
          <w:rFonts w:ascii="Times New Roman" w:hAnsi="Times New Roman" w:cs="Times New Roman"/>
        </w:rPr>
        <w:t>Botero</w:t>
      </w:r>
      <w:proofErr w:type="spell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1259.</w:t>
      </w:r>
    </w:p>
  </w:footnote>
  <w:footnote w:id="12">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There is recent evidence that they are developing a relationship with Venezuela. This relationship will be discussed later in the paper.</w:t>
      </w:r>
    </w:p>
  </w:footnote>
  <w:footnote w:id="1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5">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7">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w:t>
      </w:r>
      <w:r>
        <w:rPr>
          <w:rFonts w:ascii="Times New Roman" w:hAnsi="Times New Roman" w:cs="Times New Roman"/>
        </w:rPr>
        <w:t>429.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