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Cross-reference to </w:t>
      </w:r>
      <w:r>
        <w:fldChar w:fldCharType="begin"/>
      </w:r>
      <w:r>
        <w:instrText xml:space="preserve"> REF _Ref100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of this agreement.</w:t>
      </w:r>
    </w:p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end"/>
      </w:r>
      <w:r>
        <w:t xml:space="preserve"> of the schedule.</w:t>
      </w:r>
    </w:p>
    <w:p>
      <w:r>
        <w:t xml:space="preserve">See page </w:t>
      </w:r>
      <w:r>
        <w:fldChar w:fldCharType="begin"/>
      </w:r>
      <w:r>
        <w:instrText xml:space="preserve"> PAGE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for the notices clause.</w:t>
      </w:r>
    </w:p>
    <w:p>
      <w:r>
        <w:t xml:space="preserve">A clause with no field at all, as the quiet control.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