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Cross-reference to </w:t>
      </w:r>
      <w:r>
        <w:fldChar w:fldCharType="begin"/>
      </w:r>
      <w:r>
        <w:instrText xml:space="preserve"> REF _Ref100 \h </w:instrText>
      </w:r>
      <w:r>
        <w:fldChar w:fldCharType="separate"/>
      </w:r>
      <w:r>
        <w:t xml:space="preserve">3.2</w:t>
      </w:r>
      <w:r>
        <w:fldChar w:fldCharType="end"/>
      </w:r>
      <w:r>
        <w:t xml:space="preserve"> of this agreement.</w:t>
      </w:r>
    </w:p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end"/>
      </w:r>
      <w:r>
        <w:t xml:space="preserve"> of the schedule.</w:t>
      </w:r>
    </w:p>
    <w:p>
      <w:r>
        <w:t xml:space="preserve">See 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for the notices clause.</w:t>
      </w:r>
    </w:p>
    <w:p>
      <w:r>
        <w:t xml:space="preserve">A clause with no field at all, as the quiet control.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