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b/>
        </w:rPr>
        <w:t>Bold by a run flag.</w:t>
      </w:r>
    </w:p>
    <w:p>
      <w:r>
        <w:rPr>
          <w:rStyle w:val="StrongEmph"/>
        </w:rPr>
        <w:t>Bold by a character style.</w:t>
      </w:r>
    </w:p>
    <w:p>
      <w:pPr>
        <w:pStyle w:val="BoldClause"/>
      </w:pPr>
      <w:r>
        <w:t xml:space="preserve">Bold by a paragraph style.</w:t>
      </w:r>
    </w:p>
    <w:p>
      <w:r>
        <w:rPr>
          <w:b w:val="0"/>
        </w:rPr>
        <w:t>Explicitly NOT bold.</w:t>
      </w:r>
    </w:p>
    <w:p>
      <w:r>
        <w:rPr>
          <w:b w:val="false"/>
          <w:i w:val="off"/>
        </w:rPr>
        <w:t>Neither bold nor italic, spelled two other ways.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