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KEPT — The milestones are set out in Annex 1 and Annex 2.</w:t>
      </w:r>
    </w:p>
    <w:p>
      <w:r>
        <w:t xml:space="preserve">KEPT — BANKING TRANSPARENCY</w:t>
      </w:r>
    </w:p>
    <w:p>
      <w:r>
        <w:t xml:space="preserve">KEPT — The registration and publicity formalities are complete.</w:t>
      </w:r>
    </w:p>
    <w:p>
      <w:r>
        <w:t xml:space="preserve">KEPT — Interest accrues at the Secured Overnight </w:t>
      </w:r>
      <w:r>
        <w:t xml:space="preserve">Financing Rate plus the margin.</w:t>
      </w:r>
    </w:p>
    <w:p>
      <w:r>
        <w:t xml:space="preserve">KEPT — The Credit Support Annex governs the collateral.</w:t>
      </w:r>
    </w:p>
    <w:p>
      <w:r>
        <w:t xml:space="preserve">CONTROL — The Financing Agreement is signed today.</w:t>
      </w:r>
    </w:p>
    <w:p>
      <w:r>
        <w:t xml:space="preserve">CONTROL — Each credit line remains available.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