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SCHEDULE-BREAKS FIXTURE. Every schedule heading below says what its source does.</w:t>
      </w:r>
    </w:p>
    <w:p>
      <w:r>
        <w:t xml:space="preserve">Body text of the agreement, on the first page.</w:t>
      </w:r>
    </w:p>
    <w:p>
      <w:r>
        <w:t xml:space="preserve">SCHEDULE 1 - the source runs this heading on, under the body text</w:t>
      </w:r>
    </w:p>
    <w:p>
      <w:r>
        <w:t xml:space="preserve">Text of schedule one, which the source keeps on the first page.</w:t>
      </w:r>
    </w:p>
    <w:p>
      <w:r>
        <w:br w:type="page"/>
        <w:t xml:space="preserve">SCHEDULE 2 - the source starts this page with a break at the head of the heading</w:t>
      </w:r>
    </w:p>
    <w:p>
      <w:r>
        <w:t xml:space="preserve">Text of schedule two.</w:t>
      </w:r>
    </w:p>
    <w:p>
      <w:pPr>
        <w:pageBreakBefore/>
      </w:pPr>
      <w:r>
        <w:t xml:space="preserve">ANNEX A - control: the source gives this heading its own page break</w:t>
      </w:r>
    </w:p>
    <w:p>
      <w:r>
        <w:t xml:space="preserve">Text of annex A.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